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right"/>
        <w:rPr>
          <w:rFonts w:ascii="黑体" w:hAnsi="黑体" w:eastAsia="黑体"/>
          <w:sz w:val="32"/>
          <w:szCs w:val="32"/>
          <w:highlight w:val="none"/>
        </w:rPr>
      </w:pPr>
    </w:p>
    <w:p>
      <w:pPr>
        <w:spacing w:line="580" w:lineRule="exact"/>
        <w:jc w:val="right"/>
        <w:rPr>
          <w:rFonts w:ascii="黑体" w:hAnsi="黑体" w:eastAsia="黑体"/>
          <w:sz w:val="32"/>
          <w:szCs w:val="32"/>
          <w:highlight w:val="none"/>
        </w:rPr>
      </w:pPr>
    </w:p>
    <w:p>
      <w:pPr>
        <w:jc w:val="center"/>
        <w:rPr>
          <w:rFonts w:ascii="方正小标宋简体" w:eastAsia="方正小标宋简体"/>
          <w:sz w:val="52"/>
          <w:szCs w:val="52"/>
          <w:highlight w:val="none"/>
        </w:rPr>
      </w:pPr>
    </w:p>
    <w:p>
      <w:pPr>
        <w:jc w:val="center"/>
        <w:rPr>
          <w:rFonts w:ascii="方正小标宋简体" w:eastAsia="方正小标宋简体"/>
          <w:sz w:val="52"/>
          <w:szCs w:val="52"/>
          <w:highlight w:val="none"/>
        </w:rPr>
      </w:pPr>
    </w:p>
    <w:p>
      <w:pPr>
        <w:jc w:val="center"/>
        <w:rPr>
          <w:rFonts w:ascii="方正小标宋简体" w:eastAsia="方正小标宋简体"/>
          <w:sz w:val="52"/>
          <w:szCs w:val="52"/>
          <w:highlight w:val="none"/>
        </w:rPr>
      </w:pPr>
    </w:p>
    <w:p>
      <w:pPr>
        <w:jc w:val="center"/>
        <w:rPr>
          <w:rFonts w:ascii="方正小标宋简体" w:eastAsia="方正小标宋简体"/>
          <w:sz w:val="52"/>
          <w:szCs w:val="52"/>
          <w:highlight w:val="none"/>
        </w:rPr>
      </w:pPr>
      <w:r>
        <w:rPr>
          <w:rFonts w:hint="eastAsia" w:ascii="方正小标宋简体" w:eastAsia="方正小标宋简体"/>
          <w:sz w:val="52"/>
          <w:szCs w:val="52"/>
          <w:highlight w:val="none"/>
          <w:lang w:eastAsia="zh-CN"/>
        </w:rPr>
        <w:t>2023</w:t>
      </w:r>
      <w:r>
        <w:rPr>
          <w:rFonts w:hint="eastAsia" w:ascii="方正小标宋简体" w:eastAsia="方正小标宋简体"/>
          <w:sz w:val="52"/>
          <w:szCs w:val="52"/>
          <w:highlight w:val="none"/>
        </w:rPr>
        <w:t>年</w:t>
      </w:r>
      <w:r>
        <w:rPr>
          <w:rFonts w:hint="eastAsia" w:ascii="方正小标宋简体" w:eastAsia="方正小标宋简体"/>
          <w:sz w:val="52"/>
          <w:szCs w:val="52"/>
          <w:highlight w:val="none"/>
          <w:lang w:eastAsia="zh-CN"/>
        </w:rPr>
        <w:t>中国共产党威海市委员会统一战线工作部</w:t>
      </w:r>
      <w:r>
        <w:rPr>
          <w:rFonts w:hint="eastAsia" w:ascii="方正小标宋简体" w:eastAsia="方正小标宋简体"/>
          <w:sz w:val="52"/>
          <w:szCs w:val="52"/>
          <w:highlight w:val="none"/>
          <w:lang w:val="en-US" w:eastAsia="zh-CN"/>
        </w:rPr>
        <w:t>单位</w:t>
      </w:r>
      <w:r>
        <w:rPr>
          <w:rFonts w:hint="eastAsia" w:ascii="方正小标宋简体" w:eastAsia="方正小标宋简体"/>
          <w:sz w:val="52"/>
          <w:szCs w:val="52"/>
          <w:highlight w:val="none"/>
        </w:rPr>
        <w:t>预算</w:t>
      </w:r>
    </w:p>
    <w:p>
      <w:pPr>
        <w:jc w:val="center"/>
        <w:rPr>
          <w:rFonts w:ascii="方正小标宋简体" w:eastAsia="方正小标宋简体"/>
          <w:sz w:val="52"/>
          <w:szCs w:val="52"/>
          <w:highlight w:val="none"/>
        </w:rPr>
      </w:pPr>
    </w:p>
    <w:p>
      <w:pPr>
        <w:jc w:val="center"/>
        <w:rPr>
          <w:rFonts w:ascii="方正小标宋简体" w:eastAsia="方正小标宋简体"/>
          <w:sz w:val="44"/>
          <w:szCs w:val="44"/>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spacing w:line="580" w:lineRule="exact"/>
        <w:jc w:val="center"/>
        <w:rPr>
          <w:rFonts w:hint="eastAsia" w:ascii="黑体" w:eastAsia="黑体"/>
          <w:sz w:val="44"/>
          <w:szCs w:val="44"/>
          <w:highlight w:val="none"/>
        </w:rPr>
      </w:pPr>
      <w:r>
        <w:rPr>
          <w:rFonts w:hint="eastAsia" w:ascii="黑体" w:eastAsia="黑体"/>
          <w:sz w:val="44"/>
          <w:szCs w:val="44"/>
          <w:highlight w:val="none"/>
        </w:rPr>
        <w:t>目  录</w:t>
      </w:r>
    </w:p>
    <w:p>
      <w:pPr>
        <w:spacing w:line="580" w:lineRule="exact"/>
        <w:jc w:val="center"/>
        <w:rPr>
          <w:rFonts w:hint="eastAsia" w:ascii="黑体" w:eastAsia="黑体"/>
          <w:sz w:val="44"/>
          <w:szCs w:val="44"/>
          <w:highlight w:val="none"/>
        </w:rPr>
      </w:pPr>
    </w:p>
    <w:p>
      <w:pPr>
        <w:spacing w:line="580" w:lineRule="exact"/>
        <w:rPr>
          <w:rFonts w:ascii="黑体" w:eastAsia="黑体"/>
          <w:sz w:val="36"/>
          <w:szCs w:val="36"/>
          <w:highlight w:val="none"/>
        </w:rPr>
      </w:pPr>
      <w:r>
        <w:rPr>
          <w:rFonts w:hint="eastAsia" w:ascii="黑体" w:eastAsia="黑体"/>
          <w:sz w:val="36"/>
          <w:szCs w:val="36"/>
          <w:highlight w:val="none"/>
        </w:rPr>
        <w:t>第一部分</w:t>
      </w:r>
      <w:r>
        <w:rPr>
          <w:rFonts w:hint="eastAsia" w:ascii="黑体" w:hAnsi="黑体" w:eastAsia="黑体"/>
          <w:sz w:val="36"/>
          <w:szCs w:val="36"/>
          <w:highlight w:val="none"/>
        </w:rPr>
        <w:t xml:space="preserve"> </w:t>
      </w:r>
      <w:r>
        <w:rPr>
          <w:rFonts w:hint="eastAsia" w:ascii="黑体" w:eastAsia="黑体"/>
          <w:sz w:val="36"/>
          <w:szCs w:val="36"/>
          <w:highlight w:val="none"/>
        </w:rPr>
        <w:t>单位概况</w:t>
      </w:r>
    </w:p>
    <w:p>
      <w:pPr>
        <w:spacing w:line="580" w:lineRule="exact"/>
        <w:ind w:firstLine="640" w:firstLineChars="200"/>
        <w:rPr>
          <w:rFonts w:hint="eastAsia" w:ascii="楷体_GB2312" w:eastAsia="楷体_GB2312"/>
          <w:sz w:val="32"/>
          <w:szCs w:val="32"/>
          <w:highlight w:val="none"/>
          <w:lang w:eastAsia="zh-CN"/>
        </w:rPr>
      </w:pPr>
      <w:r>
        <w:rPr>
          <w:rFonts w:hint="eastAsia" w:ascii="楷体_GB2312" w:eastAsia="楷体_GB2312"/>
          <w:sz w:val="32"/>
          <w:szCs w:val="32"/>
          <w:highlight w:val="none"/>
        </w:rPr>
        <w:t>一、主要</w:t>
      </w:r>
      <w:r>
        <w:rPr>
          <w:rFonts w:hint="eastAsia" w:ascii="楷体_GB2312" w:eastAsia="楷体_GB2312"/>
          <w:sz w:val="32"/>
          <w:szCs w:val="32"/>
          <w:highlight w:val="none"/>
          <w:lang w:val="en-US" w:eastAsia="zh-CN"/>
        </w:rPr>
        <w:t>职能</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rPr>
        <w:t>二、</w:t>
      </w:r>
      <w:r>
        <w:rPr>
          <w:rFonts w:hint="eastAsia" w:ascii="楷体_GB2312" w:eastAsia="楷体_GB2312"/>
          <w:sz w:val="32"/>
          <w:szCs w:val="32"/>
          <w:highlight w:val="none"/>
          <w:lang w:val="en-US" w:eastAsia="zh-CN"/>
        </w:rPr>
        <w:t>机构设置情况</w:t>
      </w:r>
    </w:p>
    <w:p>
      <w:pPr>
        <w:spacing w:line="580" w:lineRule="exact"/>
        <w:rPr>
          <w:rFonts w:ascii="黑体" w:eastAsia="黑体"/>
          <w:sz w:val="36"/>
          <w:szCs w:val="36"/>
          <w:highlight w:val="none"/>
        </w:rPr>
      </w:pPr>
      <w:r>
        <w:rPr>
          <w:rFonts w:hint="eastAsia" w:ascii="黑体" w:eastAsia="黑体"/>
          <w:sz w:val="36"/>
          <w:szCs w:val="36"/>
          <w:highlight w:val="none"/>
        </w:rPr>
        <w:t xml:space="preserve">第二部分 </w:t>
      </w:r>
      <w:r>
        <w:rPr>
          <w:rFonts w:hint="eastAsia" w:ascii="黑体" w:eastAsia="黑体"/>
          <w:sz w:val="36"/>
          <w:szCs w:val="36"/>
          <w:highlight w:val="none"/>
          <w:lang w:eastAsia="zh-CN"/>
        </w:rPr>
        <w:t>2023</w:t>
      </w:r>
      <w:r>
        <w:rPr>
          <w:rFonts w:hint="eastAsia" w:ascii="黑体" w:eastAsia="黑体"/>
          <w:sz w:val="36"/>
          <w:szCs w:val="36"/>
          <w:highlight w:val="none"/>
        </w:rPr>
        <w:t>年</w:t>
      </w:r>
      <w:r>
        <w:rPr>
          <w:rFonts w:hint="eastAsia" w:ascii="黑体" w:eastAsia="黑体"/>
          <w:sz w:val="36"/>
          <w:szCs w:val="36"/>
          <w:highlight w:val="none"/>
          <w:lang w:eastAsia="zh-CN"/>
        </w:rPr>
        <w:t>单位</w:t>
      </w:r>
      <w:r>
        <w:rPr>
          <w:rFonts w:hint="eastAsia" w:ascii="黑体" w:eastAsia="黑体"/>
          <w:sz w:val="36"/>
          <w:szCs w:val="36"/>
          <w:highlight w:val="none"/>
        </w:rPr>
        <w:t>预算表</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rPr>
        <w:t>一、收支</w:t>
      </w:r>
      <w:r>
        <w:rPr>
          <w:rFonts w:hint="eastAsia" w:ascii="楷体_GB2312" w:eastAsia="楷体_GB2312"/>
          <w:sz w:val="32"/>
          <w:szCs w:val="32"/>
          <w:highlight w:val="none"/>
          <w:lang w:val="en-US" w:eastAsia="zh-CN"/>
        </w:rPr>
        <w:t>总体情况表</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rPr>
        <w:t>二、收入</w:t>
      </w:r>
      <w:r>
        <w:rPr>
          <w:rFonts w:hint="eastAsia" w:ascii="楷体_GB2312" w:eastAsia="楷体_GB2312"/>
          <w:sz w:val="32"/>
          <w:szCs w:val="32"/>
          <w:highlight w:val="none"/>
          <w:lang w:val="en-US" w:eastAsia="zh-CN"/>
        </w:rPr>
        <w:t>总体情况表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三、支出</w:t>
      </w:r>
      <w:r>
        <w:rPr>
          <w:rFonts w:hint="eastAsia" w:ascii="楷体_GB2312" w:eastAsia="楷体_GB2312"/>
          <w:sz w:val="32"/>
          <w:szCs w:val="32"/>
          <w:highlight w:val="none"/>
          <w:lang w:val="en-US" w:eastAsia="zh-CN"/>
        </w:rPr>
        <w:t>总体情况表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四、财政拨款收支总体情况表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五、一般公共预算支出</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六、一般公共预算基本支出</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七、一般公共预算“三公”经费支出情况表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八、政府性基金预算支出情况表</w:t>
      </w:r>
    </w:p>
    <w:p>
      <w:pPr>
        <w:spacing w:line="580" w:lineRule="exact"/>
        <w:ind w:firstLine="640" w:firstLineChars="200"/>
        <w:rPr>
          <w:rFonts w:hint="eastAsia" w:ascii="楷体_GB2312" w:eastAsia="楷体_GB2312"/>
          <w:sz w:val="32"/>
          <w:szCs w:val="32"/>
          <w:highlight w:val="none"/>
        </w:rPr>
      </w:pPr>
      <w:r>
        <w:rPr>
          <w:rFonts w:hint="eastAsia" w:ascii="楷体_GB2312" w:eastAsia="楷体_GB2312"/>
          <w:sz w:val="32"/>
          <w:szCs w:val="32"/>
          <w:highlight w:val="none"/>
          <w:lang w:val="en-US" w:eastAsia="zh-CN"/>
        </w:rPr>
        <w:t>九</w:t>
      </w:r>
      <w:r>
        <w:rPr>
          <w:rFonts w:hint="eastAsia" w:ascii="楷体_GB2312" w:eastAsia="楷体_GB2312"/>
          <w:sz w:val="32"/>
          <w:szCs w:val="32"/>
          <w:highlight w:val="none"/>
        </w:rPr>
        <w:t>、国有资本经营预算支出</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lang w:val="en-US" w:eastAsia="zh-CN"/>
        </w:rPr>
        <w:t>十</w:t>
      </w:r>
      <w:r>
        <w:rPr>
          <w:rFonts w:hint="eastAsia" w:ascii="楷体_GB2312" w:eastAsia="楷体_GB2312"/>
          <w:sz w:val="32"/>
          <w:szCs w:val="32"/>
          <w:highlight w:val="none"/>
        </w:rPr>
        <w:t>、基本支出预算</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hint="eastAsia" w:ascii="楷体_GB2312" w:eastAsia="楷体_GB2312"/>
          <w:sz w:val="32"/>
          <w:szCs w:val="32"/>
          <w:highlight w:val="none"/>
        </w:rPr>
      </w:pPr>
      <w:r>
        <w:rPr>
          <w:rFonts w:hint="eastAsia" w:ascii="楷体_GB2312" w:eastAsia="楷体_GB2312"/>
          <w:sz w:val="32"/>
          <w:szCs w:val="32"/>
          <w:highlight w:val="none"/>
          <w:lang w:val="en-US" w:eastAsia="zh-CN"/>
        </w:rPr>
        <w:t>十一</w:t>
      </w:r>
      <w:r>
        <w:rPr>
          <w:rFonts w:hint="eastAsia" w:ascii="楷体_GB2312" w:eastAsia="楷体_GB2312"/>
          <w:sz w:val="32"/>
          <w:szCs w:val="32"/>
          <w:highlight w:val="none"/>
        </w:rPr>
        <w:t>、项目支出预算</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lang w:val="en-US" w:eastAsia="zh-CN"/>
        </w:rPr>
        <w:t>十二、</w:t>
      </w:r>
      <w:r>
        <w:rPr>
          <w:rFonts w:hint="eastAsia" w:ascii="楷体_GB2312" w:eastAsia="楷体_GB2312"/>
          <w:sz w:val="32"/>
          <w:szCs w:val="32"/>
          <w:highlight w:val="none"/>
        </w:rPr>
        <w:t>政府采购预算</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left="1602" w:hanging="1601" w:hangingChars="445"/>
        <w:rPr>
          <w:rFonts w:ascii="黑体" w:eastAsia="黑体"/>
          <w:sz w:val="36"/>
          <w:szCs w:val="36"/>
          <w:highlight w:val="none"/>
        </w:rPr>
      </w:pPr>
      <w:r>
        <w:rPr>
          <w:rFonts w:hint="eastAsia" w:ascii="黑体" w:eastAsia="黑体"/>
          <w:sz w:val="36"/>
          <w:szCs w:val="36"/>
          <w:highlight w:val="none"/>
        </w:rPr>
        <w:t xml:space="preserve">第三部分 </w:t>
      </w:r>
      <w:r>
        <w:rPr>
          <w:rFonts w:hint="eastAsia" w:ascii="黑体" w:eastAsia="黑体"/>
          <w:sz w:val="36"/>
          <w:szCs w:val="36"/>
          <w:highlight w:val="none"/>
          <w:lang w:eastAsia="zh-CN"/>
        </w:rPr>
        <w:t>2023</w:t>
      </w:r>
      <w:r>
        <w:rPr>
          <w:rFonts w:hint="eastAsia" w:ascii="黑体" w:eastAsia="黑体"/>
          <w:sz w:val="36"/>
          <w:szCs w:val="36"/>
          <w:highlight w:val="none"/>
        </w:rPr>
        <w:t>年</w:t>
      </w:r>
      <w:r>
        <w:rPr>
          <w:rFonts w:hint="eastAsia" w:ascii="黑体" w:eastAsia="黑体"/>
          <w:sz w:val="36"/>
          <w:szCs w:val="36"/>
          <w:highlight w:val="none"/>
          <w:lang w:eastAsia="zh-CN"/>
        </w:rPr>
        <w:t>单位</w:t>
      </w:r>
      <w:r>
        <w:rPr>
          <w:rFonts w:hint="eastAsia" w:ascii="黑体" w:eastAsia="黑体"/>
          <w:sz w:val="36"/>
          <w:szCs w:val="36"/>
          <w:highlight w:val="none"/>
        </w:rPr>
        <w:t>预算情况和重要事项说明</w:t>
      </w:r>
    </w:p>
    <w:p>
      <w:pPr>
        <w:rPr>
          <w:rFonts w:ascii="黑体" w:eastAsia="黑体"/>
          <w:sz w:val="36"/>
          <w:szCs w:val="36"/>
          <w:highlight w:val="none"/>
        </w:rPr>
      </w:pPr>
      <w:r>
        <w:rPr>
          <w:rFonts w:hint="eastAsia" w:ascii="黑体" w:eastAsia="黑体"/>
          <w:sz w:val="36"/>
          <w:szCs w:val="36"/>
          <w:highlight w:val="none"/>
        </w:rPr>
        <w:t>第四部分 名词解释</w:t>
      </w:r>
    </w:p>
    <w:p>
      <w:pPr>
        <w:widowControl/>
        <w:spacing w:line="20" w:lineRule="exact"/>
        <w:jc w:val="left"/>
        <w:rPr>
          <w:rFonts w:ascii="黑体" w:eastAsia="黑体"/>
          <w:sz w:val="36"/>
          <w:szCs w:val="36"/>
          <w:highlight w:val="none"/>
        </w:rPr>
      </w:pPr>
      <w:r>
        <w:rPr>
          <w:rFonts w:ascii="黑体" w:eastAsia="黑体"/>
          <w:sz w:val="36"/>
          <w:szCs w:val="36"/>
          <w:highlight w:val="none"/>
        </w:rPr>
        <w:br w:type="page"/>
      </w:r>
    </w:p>
    <w:p>
      <w:pPr>
        <w:rPr>
          <w:rFonts w:ascii="黑体" w:eastAsia="黑体"/>
          <w:sz w:val="52"/>
          <w:szCs w:val="52"/>
          <w:highlight w:val="none"/>
        </w:rPr>
      </w:pPr>
      <w:r>
        <w:rPr>
          <w:rFonts w:hint="eastAsia" w:ascii="黑体" w:eastAsia="黑体"/>
          <w:sz w:val="52"/>
          <w:szCs w:val="52"/>
          <w:highlight w:val="none"/>
        </w:rPr>
        <w:t>第一部分</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r>
        <w:rPr>
          <w:rFonts w:hint="eastAsia" w:ascii="黑体" w:eastAsia="黑体"/>
          <w:sz w:val="52"/>
          <w:szCs w:val="52"/>
          <w:highlight w:val="none"/>
          <w:lang w:val="en-US" w:eastAsia="zh-CN"/>
        </w:rPr>
        <w:t>单位</w:t>
      </w:r>
      <w:r>
        <w:rPr>
          <w:rFonts w:hint="eastAsia" w:ascii="黑体" w:eastAsia="黑体"/>
          <w:sz w:val="52"/>
          <w:szCs w:val="52"/>
          <w:highlight w:val="none"/>
        </w:rPr>
        <w:t>概况</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spacing w:line="580" w:lineRule="exact"/>
        <w:ind w:firstLine="722" w:firstLineChars="200"/>
        <w:rPr>
          <w:rFonts w:hint="eastAsia" w:ascii="黑体" w:eastAsia="黑体"/>
          <w:sz w:val="32"/>
          <w:szCs w:val="32"/>
          <w:highlight w:val="none"/>
          <w:lang w:val="en-US" w:eastAsia="zh-CN"/>
        </w:rPr>
      </w:pPr>
      <w:r>
        <w:rPr>
          <w:rFonts w:ascii="黑体" w:eastAsia="黑体"/>
          <w:b/>
          <w:sz w:val="36"/>
          <w:szCs w:val="36"/>
          <w:highlight w:val="none"/>
        </w:rPr>
        <w:br w:type="page"/>
      </w:r>
      <w:r>
        <w:rPr>
          <w:rFonts w:hint="eastAsia" w:ascii="黑体" w:eastAsia="黑体"/>
          <w:bCs/>
          <w:sz w:val="36"/>
          <w:szCs w:val="36"/>
          <w:highlight w:val="none"/>
        </w:rPr>
        <w:t>一、</w:t>
      </w:r>
      <w:r>
        <w:rPr>
          <w:rFonts w:hint="eastAsia" w:ascii="黑体" w:eastAsia="黑体"/>
          <w:sz w:val="32"/>
          <w:szCs w:val="32"/>
          <w:highlight w:val="none"/>
        </w:rPr>
        <w:t>主要</w:t>
      </w:r>
      <w:r>
        <w:rPr>
          <w:rFonts w:hint="eastAsia" w:ascii="黑体" w:eastAsia="黑体"/>
          <w:sz w:val="32"/>
          <w:szCs w:val="32"/>
          <w:highlight w:val="none"/>
          <w:lang w:val="en-US" w:eastAsia="zh-CN"/>
        </w:rPr>
        <w:t>职能</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（一）组织贯彻执行中央和省、市委关于统一战线的方针政策，开展调查研究，结合威海的实际，提出具体落实措施；向市委反映情况，提出开展统一战线工作的意见和建议。</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二）负责联系各民主党派和无党派代表人士，及时通报情况，反映他们的意见和建议；贯彻落实中国共产党领导的多党合作和政治协商制度及党对民主党派的方针、政策；落实中央及省、市委关于发挥民主党派参政议政和民主监督作用的工作；支持、帮助各民主党派加强自身建设，选拔、培养新一代代表人物。</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三）负责党外人士的政治安排和社会安排，会同有关部门培养、选拔、推荐党外人士担任领导职务；负责党外后备干部和新的代表人物队伍的建设工作；会同有关部门调查、研究、解决贯彻执行中国共产党领导的多党合作和政治协商制度中存在的问题。</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（四）负责联系海内外工商界社团和代表人士；调查研究并反映全市非公有制经济代表人物的情况，加强联系，协调关系，提出政策建议。</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（五）负责开展我市的以祖国统一为重点的海外统战工作，联系海外有关社团及代表人士；归口管理台湾在野党派、政治团体的来访工作；指导台胞台属工作。</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（六）负责调查研究、协调检查有关民族、宗教工作的方针、政策问题；联系少数民族和宗教界代表人物；协助有关部门培养和举荐少数民族干部。</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（七）调查了解党外知识分子情况，反映意见，协调关系，提出政策建议，联系和培养党外知识分子的代表人物。</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（八）负责开展海内外统一战线宣传工作。</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九）指导各市区党委统战部和开发区、高校、大企业党委的统战工作，联系指导市工商联工作；协调政府有关部门的统战工作；管理、协调海外联谊会、台湾同胞联谊会等有关工作；与有关部门协调管理市社会主义学院。</w:t>
      </w:r>
    </w:p>
    <w:p>
      <w:pPr>
        <w:keepNext w:val="0"/>
        <w:keepLines w:val="0"/>
        <w:pageBreakBefore w:val="0"/>
        <w:widowControl w:val="0"/>
        <w:kinsoku/>
        <w:wordWrap/>
        <w:overflowPunct/>
        <w:topLinePunct w:val="0"/>
        <w:autoSpaceDE/>
        <w:autoSpaceDN/>
        <w:bidi w:val="0"/>
        <w:adjustRightInd/>
        <w:spacing w:line="600" w:lineRule="exact"/>
        <w:ind w:firstLine="320" w:firstLineChars="100"/>
        <w:textAlignment w:val="auto"/>
        <w:rPr>
          <w:rFonts w:hint="eastAsia" w:ascii="仿宋_GB2312" w:hAnsi="仿宋_GB2312" w:eastAsia="仿宋_GB2312" w:cs="仿宋_GB2312"/>
          <w:b/>
          <w:sz w:val="30"/>
          <w:szCs w:val="30"/>
          <w:highlight w:val="none"/>
          <w:lang w:val="en-US" w:eastAsia="zh-CN"/>
        </w:rPr>
      </w:pPr>
      <w:r>
        <w:rPr>
          <w:rFonts w:hint="eastAsia" w:ascii="仿宋" w:hAnsi="仿宋" w:eastAsia="仿宋" w:cs="仿宋"/>
          <w:color w:val="000000"/>
          <w:kern w:val="0"/>
          <w:sz w:val="32"/>
          <w:szCs w:val="32"/>
          <w:highlight w:val="none"/>
        </w:rPr>
        <w:t>（十）完成市委和上级统战部交办的其他工作。</w:t>
      </w:r>
    </w:p>
    <w:p>
      <w:pPr>
        <w:snapToGrid w:val="0"/>
        <w:spacing w:line="580" w:lineRule="exact"/>
        <w:rPr>
          <w:rFonts w:hint="eastAsia" w:ascii="仿宋_GB2312" w:hAnsi="宋体" w:eastAsia="仿宋_GB2312" w:cs="Courier New"/>
          <w:b/>
          <w:bCs/>
          <w:sz w:val="32"/>
          <w:szCs w:val="32"/>
          <w:highlight w:val="none"/>
          <w:lang w:val="en-US" w:eastAsia="zh-CN"/>
        </w:rPr>
      </w:pPr>
    </w:p>
    <w:p>
      <w:pPr>
        <w:spacing w:line="580" w:lineRule="exact"/>
        <w:ind w:firstLine="480" w:firstLineChars="150"/>
        <w:rPr>
          <w:rFonts w:ascii="仿宋_GB2312" w:hAnsi="宋体" w:eastAsia="仿宋_GB2312" w:cs="Courier New"/>
          <w:sz w:val="32"/>
          <w:szCs w:val="32"/>
          <w:highlight w:val="none"/>
        </w:rPr>
      </w:pPr>
    </w:p>
    <w:p>
      <w:pPr>
        <w:widowControl/>
        <w:jc w:val="left"/>
        <w:rPr>
          <w:rFonts w:ascii="黑体" w:eastAsia="黑体"/>
          <w:b/>
          <w:sz w:val="48"/>
          <w:szCs w:val="48"/>
          <w:highlight w:val="none"/>
        </w:rPr>
      </w:pPr>
      <w:r>
        <w:rPr>
          <w:rFonts w:ascii="黑体" w:eastAsia="黑体"/>
          <w:b/>
          <w:sz w:val="48"/>
          <w:szCs w:val="48"/>
          <w:highlight w:val="none"/>
        </w:rPr>
        <w:br w:type="page"/>
      </w:r>
    </w:p>
    <w:p>
      <w:pPr>
        <w:spacing w:line="580" w:lineRule="exact"/>
        <w:ind w:firstLine="640" w:firstLineChars="200"/>
        <w:rPr>
          <w:rFonts w:hint="default" w:ascii="黑体" w:eastAsia="黑体"/>
          <w:sz w:val="32"/>
          <w:szCs w:val="32"/>
          <w:highlight w:val="none"/>
          <w:lang w:val="en-US" w:eastAsia="zh-CN"/>
        </w:rPr>
      </w:pPr>
      <w:r>
        <w:rPr>
          <w:rFonts w:hint="eastAsia" w:ascii="黑体" w:eastAsia="黑体"/>
          <w:sz w:val="32"/>
          <w:szCs w:val="32"/>
          <w:highlight w:val="none"/>
        </w:rPr>
        <w:t>二、</w:t>
      </w:r>
      <w:r>
        <w:rPr>
          <w:rFonts w:hint="eastAsia" w:ascii="黑体" w:eastAsia="黑体"/>
          <w:sz w:val="32"/>
          <w:szCs w:val="32"/>
          <w:highlight w:val="none"/>
          <w:lang w:val="en-US" w:eastAsia="zh-CN"/>
        </w:rPr>
        <w:t>机构设置情况</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宋体" w:eastAsia="仿宋_GB2312" w:cs="Courier New"/>
          <w:sz w:val="32"/>
          <w:szCs w:val="32"/>
          <w:highlight w:val="none"/>
          <w:lang w:val="en-US" w:eastAsia="zh-CN"/>
        </w:rPr>
      </w:pPr>
      <w:r>
        <w:rPr>
          <w:rFonts w:hint="eastAsia" w:ascii="仿宋_GB2312" w:hAnsi="宋体" w:eastAsia="仿宋_GB2312" w:cs="Courier New"/>
          <w:sz w:val="32"/>
          <w:szCs w:val="32"/>
          <w:highlight w:val="none"/>
          <w:lang w:eastAsia="zh-CN"/>
        </w:rPr>
        <w:t>本单位为</w:t>
      </w:r>
      <w:r>
        <w:rPr>
          <w:rFonts w:hint="eastAsia" w:ascii="仿宋_GB2312" w:hAnsi="宋体" w:eastAsia="仿宋_GB2312" w:cs="Courier New"/>
          <w:sz w:val="32"/>
          <w:szCs w:val="32"/>
          <w:highlight w:val="none"/>
          <w:lang w:val="en-US" w:eastAsia="zh-CN"/>
        </w:rPr>
        <w:t>中国共产党威海市委员会统一战线工作部一级预算单位，单位设立下列内设机构，分别为：办公室、研究室、党派科、干部科、知工科、联络科、民族科、宗教科、侨务科。</w:t>
      </w:r>
    </w:p>
    <w:p>
      <w:pPr>
        <w:keepNext w:val="0"/>
        <w:keepLines w:val="0"/>
        <w:pageBreakBefore w:val="0"/>
        <w:widowControl/>
        <w:kinsoku/>
        <w:wordWrap/>
        <w:overflowPunct/>
        <w:topLinePunct w:val="0"/>
        <w:autoSpaceDE/>
        <w:autoSpaceDN/>
        <w:bidi w:val="0"/>
        <w:adjustRightInd/>
        <w:snapToGrid/>
        <w:spacing w:line="600" w:lineRule="exact"/>
        <w:ind w:firstLine="963" w:firstLineChars="200"/>
        <w:jc w:val="left"/>
        <w:textAlignment w:val="auto"/>
        <w:rPr>
          <w:rFonts w:ascii="黑体" w:eastAsia="黑体"/>
          <w:b/>
          <w:sz w:val="48"/>
          <w:szCs w:val="48"/>
          <w:highlight w:val="none"/>
        </w:rPr>
      </w:pPr>
      <w:r>
        <w:rPr>
          <w:rFonts w:ascii="黑体" w:eastAsia="黑体"/>
          <w:b/>
          <w:sz w:val="48"/>
          <w:szCs w:val="48"/>
          <w:highlight w:val="none"/>
        </w:rPr>
        <w:br w:type="page"/>
      </w:r>
    </w:p>
    <w:p>
      <w:pPr>
        <w:rPr>
          <w:rFonts w:ascii="黑体" w:eastAsia="黑体"/>
          <w:sz w:val="52"/>
          <w:szCs w:val="52"/>
          <w:highlight w:val="none"/>
        </w:rPr>
      </w:pPr>
      <w:r>
        <w:rPr>
          <w:rFonts w:hint="eastAsia" w:ascii="黑体" w:eastAsia="黑体"/>
          <w:sz w:val="52"/>
          <w:szCs w:val="52"/>
          <w:highlight w:val="none"/>
        </w:rPr>
        <w:t>第二部分</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r>
        <w:rPr>
          <w:rFonts w:hint="eastAsia" w:ascii="黑体" w:eastAsia="黑体"/>
          <w:sz w:val="52"/>
          <w:szCs w:val="52"/>
          <w:highlight w:val="none"/>
          <w:lang w:eastAsia="zh-CN"/>
        </w:rPr>
        <w:t>2023</w:t>
      </w:r>
      <w:r>
        <w:rPr>
          <w:rFonts w:hint="eastAsia" w:ascii="黑体" w:eastAsia="黑体"/>
          <w:sz w:val="52"/>
          <w:szCs w:val="52"/>
          <w:highlight w:val="none"/>
        </w:rPr>
        <w:t>年</w:t>
      </w:r>
      <w:r>
        <w:rPr>
          <w:rFonts w:hint="eastAsia" w:ascii="黑体" w:eastAsia="黑体"/>
          <w:sz w:val="52"/>
          <w:szCs w:val="52"/>
          <w:highlight w:val="none"/>
          <w:lang w:val="en-US" w:eastAsia="zh-CN"/>
        </w:rPr>
        <w:t>单位</w:t>
      </w:r>
      <w:r>
        <w:rPr>
          <w:rFonts w:hint="eastAsia" w:ascii="黑体" w:eastAsia="黑体"/>
          <w:sz w:val="52"/>
          <w:szCs w:val="52"/>
          <w:highlight w:val="none"/>
        </w:rPr>
        <w:t>预算表</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widowControl/>
        <w:jc w:val="left"/>
        <w:rPr>
          <w:rFonts w:ascii="仿宋_GB2312" w:eastAsia="仿宋_GB2312"/>
          <w:b/>
          <w:sz w:val="30"/>
          <w:szCs w:val="30"/>
          <w:highlight w:val="none"/>
        </w:rPr>
      </w:pPr>
      <w:r>
        <w:rPr>
          <w:rFonts w:ascii="仿宋_GB2312" w:eastAsia="仿宋_GB2312"/>
          <w:b/>
          <w:sz w:val="30"/>
          <w:szCs w:val="30"/>
          <w:highlight w:val="none"/>
        </w:rPr>
        <w:br w:type="page"/>
      </w:r>
    </w:p>
    <w:p>
      <w:pPr>
        <w:keepNext w:val="0"/>
        <w:keepLines w:val="0"/>
        <w:pageBreakBefore w:val="0"/>
        <w:kinsoku/>
        <w:wordWrap/>
        <w:overflowPunct/>
        <w:topLinePunct w:val="0"/>
        <w:autoSpaceDE/>
        <w:autoSpaceDN/>
        <w:bidi w:val="0"/>
        <w:adjustRightInd/>
        <w:snapToGrid/>
        <w:spacing w:line="240" w:lineRule="exact"/>
        <w:jc w:val="right"/>
        <w:textAlignment w:val="auto"/>
        <w:rPr>
          <w:rFonts w:ascii="黑体" w:hAnsi="黑体" w:eastAsia="黑体"/>
          <w:bCs/>
          <w:szCs w:val="21"/>
          <w:highlight w:val="none"/>
        </w:rPr>
      </w:pPr>
      <w:r>
        <w:rPr>
          <w:rFonts w:hint="eastAsia" w:ascii="黑体" w:hAnsi="黑体" w:eastAsia="黑体"/>
          <w:bCs/>
          <w:szCs w:val="21"/>
          <w:highlight w:val="none"/>
        </w:rPr>
        <w:t>公开表1</w:t>
      </w:r>
    </w:p>
    <w:p>
      <w:pPr>
        <w:keepNext w:val="0"/>
        <w:keepLines w:val="0"/>
        <w:pageBreakBefore w:val="0"/>
        <w:kinsoku/>
        <w:wordWrap/>
        <w:overflowPunct/>
        <w:topLinePunct w:val="0"/>
        <w:autoSpaceDE/>
        <w:autoSpaceDN/>
        <w:bidi w:val="0"/>
        <w:adjustRightInd/>
        <w:snapToGrid/>
        <w:spacing w:line="240" w:lineRule="exact"/>
        <w:jc w:val="center"/>
        <w:textAlignment w:val="auto"/>
        <w:rPr>
          <w:rFonts w:ascii="黑体" w:hAnsi="黑体" w:eastAsia="黑体" w:cs="宋体"/>
          <w:bCs/>
          <w:kern w:val="0"/>
          <w:sz w:val="32"/>
          <w:szCs w:val="32"/>
          <w:highlight w:val="none"/>
        </w:rPr>
      </w:pPr>
      <w:bookmarkStart w:id="0" w:name="RANGE!A2:D28"/>
      <w:r>
        <w:rPr>
          <w:rFonts w:hint="eastAsia" w:ascii="黑体" w:hAnsi="黑体" w:eastAsia="黑体"/>
          <w:bCs/>
          <w:sz w:val="28"/>
          <w:szCs w:val="28"/>
          <w:highlight w:val="none"/>
        </w:rPr>
        <w:t>收支总体情况表</w:t>
      </w:r>
      <w:bookmarkEnd w:id="0"/>
    </w:p>
    <w:p>
      <w:pPr>
        <w:keepNext w:val="0"/>
        <w:keepLines w:val="0"/>
        <w:pageBreakBefore w:val="0"/>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bl>
      <w:tblPr>
        <w:tblStyle w:val="8"/>
        <w:tblW w:w="9398" w:type="dxa"/>
        <w:jc w:val="center"/>
        <w:tblLayout w:type="fixed"/>
        <w:tblCellMar>
          <w:top w:w="0" w:type="dxa"/>
          <w:left w:w="108" w:type="dxa"/>
          <w:bottom w:w="0" w:type="dxa"/>
          <w:right w:w="108" w:type="dxa"/>
        </w:tblCellMar>
      </w:tblPr>
      <w:tblGrid>
        <w:gridCol w:w="3381"/>
        <w:gridCol w:w="1297"/>
        <w:gridCol w:w="3397"/>
        <w:gridCol w:w="1323"/>
      </w:tblGrid>
      <w:tr>
        <w:tblPrEx>
          <w:tblCellMar>
            <w:top w:w="0" w:type="dxa"/>
            <w:left w:w="108" w:type="dxa"/>
            <w:bottom w:w="0" w:type="dxa"/>
            <w:right w:w="108" w:type="dxa"/>
          </w:tblCellMar>
        </w:tblPrEx>
        <w:trPr>
          <w:trHeight w:val="340" w:hRule="atLeast"/>
          <w:jc w:val="center"/>
        </w:trPr>
        <w:tc>
          <w:tcPr>
            <w:tcW w:w="467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 xml:space="preserve">收 </w:t>
            </w:r>
            <w:r>
              <w:rPr>
                <w:rFonts w:ascii="黑体" w:hAnsi="黑体" w:eastAsia="黑体" w:cs="宋体"/>
                <w:kern w:val="0"/>
                <w:sz w:val="18"/>
                <w:szCs w:val="18"/>
                <w:highlight w:val="none"/>
              </w:rPr>
              <w:t xml:space="preserve">   </w:t>
            </w:r>
            <w:r>
              <w:rPr>
                <w:rFonts w:hint="eastAsia" w:ascii="黑体" w:hAnsi="黑体" w:eastAsia="黑体" w:cs="宋体"/>
                <w:kern w:val="0"/>
                <w:sz w:val="18"/>
                <w:szCs w:val="18"/>
                <w:highlight w:val="none"/>
              </w:rPr>
              <w:t>入</w:t>
            </w:r>
          </w:p>
        </w:tc>
        <w:tc>
          <w:tcPr>
            <w:tcW w:w="4720" w:type="dxa"/>
            <w:gridSpan w:val="2"/>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 xml:space="preserve">支 </w:t>
            </w:r>
            <w:r>
              <w:rPr>
                <w:rFonts w:ascii="黑体" w:hAnsi="黑体" w:eastAsia="黑体" w:cs="宋体"/>
                <w:kern w:val="0"/>
                <w:sz w:val="18"/>
                <w:szCs w:val="18"/>
                <w:highlight w:val="none"/>
              </w:rPr>
              <w:t xml:space="preserve">   </w:t>
            </w:r>
            <w:r>
              <w:rPr>
                <w:rFonts w:hint="eastAsia" w:ascii="黑体" w:hAnsi="黑体" w:eastAsia="黑体" w:cs="宋体"/>
                <w:kern w:val="0"/>
                <w:sz w:val="18"/>
                <w:szCs w:val="18"/>
                <w:highlight w:val="none"/>
              </w:rPr>
              <w:t>出</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项目</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预算数</w:t>
            </w:r>
          </w:p>
        </w:tc>
        <w:tc>
          <w:tcPr>
            <w:tcW w:w="3397" w:type="dxa"/>
            <w:tcBorders>
              <w:top w:val="nil"/>
              <w:left w:val="nil"/>
              <w:bottom w:val="single" w:color="auto" w:sz="4" w:space="0"/>
              <w:right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项目</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预算数</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一、财政拨款收入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992.52</w:t>
            </w: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一、一般公共服务支出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842.08</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一般公共预算收入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992.52</w:t>
            </w: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二、外交支出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政府性基金预算收入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三、国防支出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国有资本经营预算收入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四、公共安全支出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二、财政专户管理资金收入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五、教育支出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三、事业收入（不含教育收费）</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六、科学技术支出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四、事业单位经营收入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七、文化旅游体育与传媒支出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五、其他收入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八、社会保障和就业支出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61.14</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九、卫生健康支出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38.22</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十、节能环保支出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十一、城乡社区支出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十二、农林水支出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十三、交通运输支出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十四、资源勘探工业信息等支出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十五、商业服务业等支出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十六、金融支出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nil"/>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十七、援助其他地区支出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十八、自然资源海洋气象等支出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十九、住房保障支出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51.09</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二十、粮油物资储备支出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二十一、国有资本经营预算支出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二十二、灾害防治及应急管理支出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二十三、其他支出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rPr>
              <w:t>本年收入合计</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992.52</w:t>
            </w: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rPr>
              <w:t>本年支出合计</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992.52</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上级补助收入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附属单位上缴收入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对附属单位的补助支出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rPr>
              <w:t>使用非财政拨款结余</w:t>
            </w:r>
          </w:p>
        </w:tc>
        <w:tc>
          <w:tcPr>
            <w:tcW w:w="12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上缴上级支出</w:t>
            </w:r>
          </w:p>
        </w:tc>
        <w:tc>
          <w:tcPr>
            <w:tcW w:w="132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rPr>
              <w:t>上年结转</w:t>
            </w:r>
          </w:p>
        </w:tc>
        <w:tc>
          <w:tcPr>
            <w:tcW w:w="12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lang w:val="en-US" w:eastAsia="zh-CN"/>
              </w:rPr>
              <w:t>结转下年</w:t>
            </w:r>
          </w:p>
        </w:tc>
        <w:tc>
          <w:tcPr>
            <w:tcW w:w="132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rPr>
              <w:t>收 入 总 计</w:t>
            </w:r>
          </w:p>
        </w:tc>
        <w:tc>
          <w:tcPr>
            <w:tcW w:w="12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lang w:val="en-US" w:eastAsia="zh-CN" w:bidi="ar-SA"/>
              </w:rPr>
              <w:t>992.52</w:t>
            </w:r>
          </w:p>
        </w:tc>
        <w:tc>
          <w:tcPr>
            <w:tcW w:w="33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rPr>
              <w:t>支 出 总 计</w:t>
            </w:r>
          </w:p>
        </w:tc>
        <w:tc>
          <w:tcPr>
            <w:tcW w:w="132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lang w:val="en-US" w:eastAsia="zh-CN" w:bidi="ar-SA"/>
              </w:rPr>
              <w:t>992.52</w:t>
            </w:r>
          </w:p>
        </w:tc>
      </w:tr>
    </w:tbl>
    <w:p>
      <w:pPr>
        <w:rPr>
          <w:rFonts w:ascii="黑体" w:eastAsia="黑体"/>
          <w:b/>
          <w:sz w:val="30"/>
          <w:szCs w:val="30"/>
          <w:highlight w:val="none"/>
        </w:rPr>
      </w:pPr>
    </w:p>
    <w:p>
      <w:pPr>
        <w:rPr>
          <w:rFonts w:ascii="黑体" w:eastAsia="黑体"/>
          <w:b/>
          <w:sz w:val="30"/>
          <w:szCs w:val="30"/>
          <w:highlight w:val="none"/>
        </w:rPr>
        <w:sectPr>
          <w:footerReference r:id="rId3" w:type="default"/>
          <w:footerReference r:id="rId4" w:type="even"/>
          <w:pgSz w:w="11906" w:h="16838"/>
          <w:pgMar w:top="2041" w:right="1701" w:bottom="2041" w:left="1701" w:header="851" w:footer="992" w:gutter="0"/>
          <w:pgNumType w:start="0"/>
          <w:cols w:space="720" w:num="1"/>
          <w:titlePg/>
          <w:docGrid w:type="lines" w:linePitch="312" w:charSpace="0"/>
        </w:sectPr>
      </w:pPr>
    </w:p>
    <w:tbl>
      <w:tblPr>
        <w:tblStyle w:val="8"/>
        <w:tblW w:w="14786" w:type="dxa"/>
        <w:tblInd w:w="0" w:type="dxa"/>
        <w:tblLayout w:type="fixed"/>
        <w:tblCellMar>
          <w:top w:w="0" w:type="dxa"/>
          <w:left w:w="108" w:type="dxa"/>
          <w:bottom w:w="0" w:type="dxa"/>
          <w:right w:w="108" w:type="dxa"/>
        </w:tblCellMar>
      </w:tblPr>
      <w:tblGrid>
        <w:gridCol w:w="824"/>
        <w:gridCol w:w="826"/>
        <w:gridCol w:w="920"/>
        <w:gridCol w:w="1525"/>
        <w:gridCol w:w="1077"/>
        <w:gridCol w:w="1077"/>
        <w:gridCol w:w="1077"/>
        <w:gridCol w:w="1077"/>
        <w:gridCol w:w="1077"/>
        <w:gridCol w:w="663"/>
        <w:gridCol w:w="663"/>
        <w:gridCol w:w="663"/>
        <w:gridCol w:w="663"/>
        <w:gridCol w:w="663"/>
        <w:gridCol w:w="663"/>
        <w:gridCol w:w="664"/>
        <w:gridCol w:w="664"/>
      </w:tblGrid>
      <w:tr>
        <w:tblPrEx>
          <w:tblCellMar>
            <w:top w:w="0" w:type="dxa"/>
            <w:left w:w="108" w:type="dxa"/>
            <w:bottom w:w="0" w:type="dxa"/>
            <w:right w:w="108" w:type="dxa"/>
          </w:tblCellMar>
        </w:tblPrEx>
        <w:trPr>
          <w:trHeight w:val="360" w:hRule="atLeast"/>
          <w:tblHeader/>
        </w:trPr>
        <w:tc>
          <w:tcPr>
            <w:tcW w:w="14786" w:type="dxa"/>
            <w:gridSpan w:val="17"/>
            <w:tcBorders>
              <w:bottom w:val="single" w:color="auto" w:sz="4" w:space="0"/>
            </w:tcBorders>
            <w:shd w:val="clear" w:color="000000" w:fill="FFFFFF"/>
            <w:vAlign w:val="center"/>
          </w:tcPr>
          <w:p>
            <w:pPr>
              <w:jc w:val="right"/>
              <w:rPr>
                <w:rFonts w:hint="eastAsia" w:ascii="黑体" w:hAnsi="黑体" w:eastAsia="黑体"/>
                <w:bCs/>
                <w:szCs w:val="21"/>
                <w:highlight w:val="none"/>
              </w:rPr>
            </w:pPr>
          </w:p>
          <w:p>
            <w:pPr>
              <w:jc w:val="right"/>
              <w:rPr>
                <w:rFonts w:ascii="黑体" w:hAnsi="黑体" w:eastAsia="黑体"/>
                <w:bCs/>
                <w:szCs w:val="21"/>
                <w:highlight w:val="none"/>
              </w:rPr>
            </w:pPr>
            <w:r>
              <w:rPr>
                <w:rFonts w:hint="eastAsia" w:ascii="黑体" w:hAnsi="黑体" w:eastAsia="黑体"/>
                <w:bCs/>
                <w:szCs w:val="21"/>
                <w:highlight w:val="none"/>
              </w:rPr>
              <w:t>公开表2</w:t>
            </w:r>
          </w:p>
          <w:p>
            <w:pPr>
              <w:jc w:val="center"/>
              <w:rPr>
                <w:rFonts w:ascii="黑体" w:hAnsi="黑体" w:eastAsia="黑体"/>
                <w:bCs/>
                <w:sz w:val="28"/>
                <w:szCs w:val="28"/>
                <w:highlight w:val="none"/>
              </w:rPr>
            </w:pPr>
            <w:r>
              <w:rPr>
                <w:rFonts w:hint="eastAsia" w:ascii="黑体" w:hAnsi="黑体" w:eastAsia="黑体"/>
                <w:bCs/>
                <w:sz w:val="28"/>
                <w:szCs w:val="28"/>
                <w:highlight w:val="none"/>
              </w:rPr>
              <w:t>收入总体情况表</w:t>
            </w:r>
          </w:p>
          <w:p>
            <w:pPr>
              <w:widowControl/>
              <w:adjustRightInd w:val="0"/>
              <w:snapToGrid w:val="0"/>
              <w:jc w:val="right"/>
              <w:rPr>
                <w:rFonts w:ascii="黑体" w:hAnsi="黑体" w:eastAsia="黑体" w:cs="Arial"/>
                <w:color w:val="000000"/>
                <w:kern w:val="0"/>
                <w:sz w:val="18"/>
                <w:szCs w:val="18"/>
                <w:highlight w:val="none"/>
              </w:rPr>
            </w:pPr>
            <w:r>
              <w:rPr>
                <w:rFonts w:hint="eastAsia" w:ascii="仿宋_GB2312" w:hAnsi="宋体" w:eastAsia="仿宋_GB2312" w:cs="宋体"/>
                <w:kern w:val="0"/>
                <w:sz w:val="20"/>
                <w:szCs w:val="20"/>
                <w:highlight w:val="none"/>
              </w:rPr>
              <w:t>单位：万元</w:t>
            </w:r>
          </w:p>
        </w:tc>
      </w:tr>
      <w:tr>
        <w:tblPrEx>
          <w:tblCellMar>
            <w:top w:w="0" w:type="dxa"/>
            <w:left w:w="108" w:type="dxa"/>
            <w:bottom w:w="0" w:type="dxa"/>
            <w:right w:w="108" w:type="dxa"/>
          </w:tblCellMar>
        </w:tblPrEx>
        <w:trPr>
          <w:trHeight w:val="360" w:hRule="atLeast"/>
          <w:tblHeader/>
        </w:trPr>
        <w:tc>
          <w:tcPr>
            <w:tcW w:w="2570"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科目编码</w:t>
            </w:r>
          </w:p>
        </w:tc>
        <w:tc>
          <w:tcPr>
            <w:tcW w:w="1525"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科目名称</w:t>
            </w:r>
          </w:p>
        </w:tc>
        <w:tc>
          <w:tcPr>
            <w:tcW w:w="107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合计</w:t>
            </w:r>
          </w:p>
        </w:tc>
        <w:tc>
          <w:tcPr>
            <w:tcW w:w="4308" w:type="dxa"/>
            <w:gridSpan w:val="4"/>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财政拨款收入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财政</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专户</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管理</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资金</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事业</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事业</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单位</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经营</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lang w:val="en-US" w:eastAsia="zh-CN"/>
              </w:rPr>
              <w:t>其他</w:t>
            </w:r>
          </w:p>
          <w:p>
            <w:pPr>
              <w:widowControl/>
              <w:adjustRightInd w:val="0"/>
              <w:snapToGrid w:val="0"/>
              <w:jc w:val="center"/>
              <w:rPr>
                <w:rFonts w:hint="default"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lang w:val="en-US" w:eastAsia="zh-CN"/>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上级</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补助</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附属</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单位</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上缴</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4"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使用</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非财</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政拨</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款结</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余</w:t>
            </w:r>
          </w:p>
        </w:tc>
        <w:tc>
          <w:tcPr>
            <w:tcW w:w="664" w:type="dxa"/>
            <w:vMerge w:val="restart"/>
            <w:tcBorders>
              <w:top w:val="single" w:color="auto" w:sz="4" w:space="0"/>
              <w:left w:val="single" w:color="auto" w:sz="4" w:space="0"/>
              <w:right w:val="single" w:color="auto" w:sz="4" w:space="0"/>
            </w:tcBorders>
            <w:shd w:val="clear" w:color="000000" w:fill="FFFFFF"/>
            <w:vAlign w:val="center"/>
          </w:tcPr>
          <w:p>
            <w:pPr>
              <w:widowControl/>
              <w:shd w:val="clear" w:fill="DBEEF3" w:themeFill="accent5" w:themeFillTint="32"/>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上年</w:t>
            </w:r>
          </w:p>
          <w:p>
            <w:pPr>
              <w:widowControl/>
              <w:shd w:val="clear" w:fill="DBEEF3" w:themeFill="accent5" w:themeFillTint="32"/>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结转</w:t>
            </w:r>
          </w:p>
        </w:tc>
      </w:tr>
      <w:tr>
        <w:tblPrEx>
          <w:tblCellMar>
            <w:top w:w="0" w:type="dxa"/>
            <w:left w:w="108" w:type="dxa"/>
            <w:bottom w:w="0" w:type="dxa"/>
            <w:right w:w="108" w:type="dxa"/>
          </w:tblCellMar>
        </w:tblPrEx>
        <w:trPr>
          <w:trHeight w:val="1349" w:hRule="atLeast"/>
          <w:tblHeader/>
        </w:trPr>
        <w:tc>
          <w:tcPr>
            <w:tcW w:w="824"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类</w:t>
            </w:r>
          </w:p>
        </w:tc>
        <w:tc>
          <w:tcPr>
            <w:tcW w:w="82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款</w:t>
            </w:r>
          </w:p>
        </w:tc>
        <w:tc>
          <w:tcPr>
            <w:tcW w:w="92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w:t>
            </w:r>
          </w:p>
        </w:tc>
        <w:tc>
          <w:tcPr>
            <w:tcW w:w="152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1077"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小计</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一般公共</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预算收入</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政府性</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基金预算收入</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国有资本</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经营预算</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4" w:type="dxa"/>
            <w:vMerge w:val="continue"/>
            <w:tcBorders>
              <w:left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p>
        </w:tc>
      </w:tr>
      <w:tr>
        <w:tblPrEx>
          <w:tblCellMar>
            <w:top w:w="0" w:type="dxa"/>
            <w:left w:w="108" w:type="dxa"/>
            <w:bottom w:w="0" w:type="dxa"/>
            <w:right w:w="108" w:type="dxa"/>
          </w:tblCellMar>
        </w:tblPrEx>
        <w:trPr>
          <w:trHeight w:val="458" w:hRule="atLeast"/>
        </w:trPr>
        <w:tc>
          <w:tcPr>
            <w:tcW w:w="409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合 </w:t>
            </w:r>
            <w:r>
              <w:rPr>
                <w:rFonts w:ascii="仿宋_GB2312" w:hAnsi="宋体" w:eastAsia="仿宋_GB2312" w:cs="Arial"/>
                <w:color w:val="000000"/>
                <w:kern w:val="0"/>
                <w:sz w:val="18"/>
                <w:szCs w:val="18"/>
                <w:highlight w:val="none"/>
              </w:rPr>
              <w:t xml:space="preserve">   </w:t>
            </w:r>
            <w:r>
              <w:rPr>
                <w:rFonts w:hint="eastAsia" w:ascii="仿宋_GB2312" w:hAnsi="宋体" w:eastAsia="仿宋_GB2312" w:cs="Arial"/>
                <w:color w:val="000000"/>
                <w:kern w:val="0"/>
                <w:sz w:val="18"/>
                <w:szCs w:val="18"/>
                <w:highlight w:val="none"/>
              </w:rPr>
              <w:t>计</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一般公共服务支出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统战事务</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行政运行</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行政事业单位养老支出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机关事业单位基本养老保险缴费支出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卫生健康支出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30.67</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30.67</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30.67</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03</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公务员医疗补助</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7.55</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7.55</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7.55</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住房保障支出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住房改革支出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住房公积金</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bl>
    <w:p>
      <w:pPr>
        <w:widowControl/>
        <w:jc w:val="left"/>
        <w:rPr>
          <w:rFonts w:ascii="宋体" w:hAnsi="宋体"/>
          <w:b/>
          <w:szCs w:val="21"/>
          <w:highlight w:val="none"/>
        </w:rPr>
      </w:pPr>
    </w:p>
    <w:p>
      <w:pPr>
        <w:widowControl/>
        <w:jc w:val="left"/>
        <w:rPr>
          <w:rFonts w:ascii="宋体" w:hAnsi="宋体"/>
          <w:b/>
          <w:szCs w:val="21"/>
          <w:highlight w:val="none"/>
        </w:rPr>
      </w:pPr>
      <w:r>
        <w:rPr>
          <w:rFonts w:ascii="宋体" w:hAnsi="宋体"/>
          <w:b/>
          <w:szCs w:val="21"/>
          <w:highlight w:val="none"/>
        </w:rPr>
        <w:br w:type="page"/>
      </w:r>
    </w:p>
    <w:tbl>
      <w:tblPr>
        <w:tblStyle w:val="8"/>
        <w:tblW w:w="14786" w:type="dxa"/>
        <w:tblInd w:w="0" w:type="dxa"/>
        <w:tblLayout w:type="fixed"/>
        <w:tblCellMar>
          <w:top w:w="0" w:type="dxa"/>
          <w:left w:w="108" w:type="dxa"/>
          <w:bottom w:w="0" w:type="dxa"/>
          <w:right w:w="108" w:type="dxa"/>
        </w:tblCellMar>
      </w:tblPr>
      <w:tblGrid>
        <w:gridCol w:w="1227"/>
        <w:gridCol w:w="1227"/>
        <w:gridCol w:w="1227"/>
        <w:gridCol w:w="1227"/>
        <w:gridCol w:w="1411"/>
        <w:gridCol w:w="1411"/>
        <w:gridCol w:w="1411"/>
        <w:gridCol w:w="1411"/>
        <w:gridCol w:w="1411"/>
        <w:gridCol w:w="1411"/>
        <w:gridCol w:w="1412"/>
      </w:tblGrid>
      <w:tr>
        <w:tblPrEx>
          <w:tblCellMar>
            <w:top w:w="0" w:type="dxa"/>
            <w:left w:w="108" w:type="dxa"/>
            <w:bottom w:w="0" w:type="dxa"/>
            <w:right w:w="108" w:type="dxa"/>
          </w:tblCellMar>
        </w:tblPrEx>
        <w:trPr>
          <w:trHeight w:val="360" w:hRule="atLeast"/>
          <w:tblHeader/>
        </w:trPr>
        <w:tc>
          <w:tcPr>
            <w:tcW w:w="14786" w:type="dxa"/>
            <w:gridSpan w:val="11"/>
            <w:tcBorders>
              <w:bottom w:val="single" w:color="auto" w:sz="4" w:space="0"/>
            </w:tcBorders>
            <w:shd w:val="clear" w:color="000000" w:fill="FFFFFF"/>
            <w:vAlign w:val="center"/>
          </w:tcPr>
          <w:p>
            <w:pPr>
              <w:jc w:val="right"/>
              <w:rPr>
                <w:rFonts w:ascii="黑体" w:hAnsi="黑体" w:eastAsia="黑体"/>
                <w:bCs/>
                <w:szCs w:val="21"/>
                <w:highlight w:val="none"/>
              </w:rPr>
            </w:pPr>
            <w:r>
              <w:rPr>
                <w:rFonts w:hint="eastAsia" w:ascii="黑体" w:hAnsi="黑体" w:eastAsia="黑体"/>
                <w:bCs/>
                <w:szCs w:val="21"/>
                <w:highlight w:val="none"/>
              </w:rPr>
              <w:t>公开表3</w:t>
            </w:r>
          </w:p>
          <w:p>
            <w:pPr>
              <w:jc w:val="center"/>
              <w:rPr>
                <w:rFonts w:ascii="黑体" w:hAnsi="黑体" w:eastAsia="黑体"/>
                <w:bCs/>
                <w:sz w:val="28"/>
                <w:szCs w:val="28"/>
                <w:highlight w:val="none"/>
              </w:rPr>
            </w:pPr>
            <w:r>
              <w:rPr>
                <w:rFonts w:hint="eastAsia" w:ascii="黑体" w:hAnsi="黑体" w:eastAsia="黑体"/>
                <w:bCs/>
                <w:sz w:val="28"/>
                <w:szCs w:val="28"/>
                <w:highlight w:val="none"/>
              </w:rPr>
              <w:t>支出总体情况表</w:t>
            </w:r>
          </w:p>
          <w:p>
            <w:pPr>
              <w:jc w:val="right"/>
              <w:rPr>
                <w:rFonts w:hint="eastAsia"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108" w:type="dxa"/>
            <w:bottom w:w="0" w:type="dxa"/>
            <w:right w:w="108" w:type="dxa"/>
          </w:tblCellMar>
        </w:tblPrEx>
        <w:trPr>
          <w:trHeight w:val="360" w:hRule="atLeast"/>
          <w:tblHeader/>
        </w:trPr>
        <w:tc>
          <w:tcPr>
            <w:tcW w:w="3681"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科目编码</w:t>
            </w:r>
          </w:p>
        </w:tc>
        <w:tc>
          <w:tcPr>
            <w:tcW w:w="122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科目名称</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合计</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基本支出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项目支出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上缴上级</w:t>
            </w:r>
            <w:r>
              <w:rPr>
                <w:rFonts w:ascii="黑体" w:hAnsi="黑体" w:eastAsia="黑体" w:cs="Arial"/>
                <w:color w:val="000000"/>
                <w:kern w:val="0"/>
                <w:sz w:val="18"/>
                <w:szCs w:val="18"/>
                <w:highlight w:val="none"/>
              </w:rPr>
              <w:br w:type="textWrapping"/>
            </w:r>
            <w:r>
              <w:rPr>
                <w:rFonts w:hint="eastAsia" w:ascii="黑体" w:hAnsi="黑体" w:eastAsia="黑体" w:cs="Arial"/>
                <w:color w:val="000000"/>
                <w:kern w:val="0"/>
                <w:sz w:val="18"/>
                <w:szCs w:val="18"/>
                <w:highlight w:val="none"/>
              </w:rPr>
              <w:t>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对附属单位</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补助支出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rPr>
              <w:t>事业单位</w:t>
            </w:r>
            <w:r>
              <w:rPr>
                <w:rFonts w:ascii="黑体" w:hAnsi="黑体" w:eastAsia="黑体" w:cs="Arial"/>
                <w:color w:val="000000"/>
                <w:kern w:val="0"/>
                <w:sz w:val="18"/>
                <w:szCs w:val="18"/>
                <w:highlight w:val="none"/>
              </w:rPr>
              <w:br w:type="textWrapping"/>
            </w:r>
            <w:r>
              <w:rPr>
                <w:rFonts w:hint="eastAsia" w:ascii="黑体" w:hAnsi="黑体" w:eastAsia="黑体" w:cs="Arial"/>
                <w:color w:val="000000"/>
                <w:kern w:val="0"/>
                <w:sz w:val="18"/>
                <w:szCs w:val="18"/>
                <w:highlight w:val="none"/>
              </w:rPr>
              <w:t>经营支出</w:t>
            </w:r>
          </w:p>
        </w:tc>
        <w:tc>
          <w:tcPr>
            <w:tcW w:w="1412" w:type="dxa"/>
            <w:vMerge w:val="restart"/>
            <w:tcBorders>
              <w:top w:val="single" w:color="auto" w:sz="4" w:space="0"/>
              <w:left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lang w:val="en-US" w:eastAsia="zh-CN"/>
              </w:rPr>
              <w:t>结转下年</w:t>
            </w:r>
          </w:p>
        </w:tc>
      </w:tr>
      <w:tr>
        <w:tblPrEx>
          <w:tblCellMar>
            <w:top w:w="0" w:type="dxa"/>
            <w:left w:w="108" w:type="dxa"/>
            <w:bottom w:w="0" w:type="dxa"/>
            <w:right w:w="108" w:type="dxa"/>
          </w:tblCellMar>
        </w:tblPrEx>
        <w:trPr>
          <w:trHeight w:val="439" w:hRule="atLeast"/>
          <w:tblHeader/>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类</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款</w:t>
            </w:r>
          </w:p>
        </w:tc>
        <w:tc>
          <w:tcPr>
            <w:tcW w:w="122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w:t>
            </w:r>
          </w:p>
        </w:tc>
        <w:tc>
          <w:tcPr>
            <w:tcW w:w="1227"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2" w:type="dxa"/>
            <w:vMerge w:val="continue"/>
            <w:tcBorders>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4908"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合 </w:t>
            </w:r>
            <w:r>
              <w:rPr>
                <w:rFonts w:ascii="仿宋_GB2312" w:hAnsi="宋体" w:eastAsia="仿宋_GB2312" w:cs="Arial"/>
                <w:color w:val="000000"/>
                <w:kern w:val="0"/>
                <w:sz w:val="18"/>
                <w:szCs w:val="18"/>
                <w:highlight w:val="none"/>
              </w:rPr>
              <w:t xml:space="preserve">   </w:t>
            </w:r>
            <w:r>
              <w:rPr>
                <w:rFonts w:hint="eastAsia" w:ascii="仿宋_GB2312" w:hAnsi="宋体" w:eastAsia="仿宋_GB2312" w:cs="Arial"/>
                <w:color w:val="000000"/>
                <w:kern w:val="0"/>
                <w:sz w:val="18"/>
                <w:szCs w:val="18"/>
                <w:highlight w:val="none"/>
              </w:rPr>
              <w:t>计</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670.52</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322.00</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一般公共服务支出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520.08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center"/>
              <w:textAlignment w:val="center"/>
              <w:rPr>
                <w:rFonts w:ascii="仿宋_GB2312" w:hAnsi="宋体" w:eastAsia="仿宋_GB2312" w:cs="Arial"/>
                <w:color w:val="000000"/>
                <w:kern w:val="0"/>
                <w:sz w:val="18"/>
                <w:szCs w:val="18"/>
                <w:highlight w:val="none"/>
              </w:rPr>
            </w:pPr>
            <w:r>
              <w:rPr>
                <w:rFonts w:hint="eastAsia" w:ascii="宋体" w:hAnsi="宋体" w:eastAsia="宋体" w:cs="宋体"/>
                <w:i w:val="0"/>
                <w:iCs w:val="0"/>
                <w:color w:val="000000"/>
                <w:kern w:val="0"/>
                <w:sz w:val="20"/>
                <w:szCs w:val="20"/>
                <w:highlight w:val="none"/>
                <w:u w:val="none"/>
                <w:lang w:val="en-US" w:eastAsia="zh-CN" w:bidi="ar"/>
              </w:rPr>
              <w:t>322.00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统战事务</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520.08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center"/>
              <w:textAlignment w:val="center"/>
              <w:rPr>
                <w:rFonts w:ascii="仿宋_GB2312" w:hAnsi="宋体" w:eastAsia="仿宋_GB2312" w:cs="Arial"/>
                <w:color w:val="000000"/>
                <w:kern w:val="0"/>
                <w:sz w:val="18"/>
                <w:szCs w:val="18"/>
                <w:highlight w:val="none"/>
              </w:rPr>
            </w:pPr>
            <w:r>
              <w:rPr>
                <w:rFonts w:hint="eastAsia" w:ascii="宋体" w:hAnsi="宋体" w:eastAsia="宋体" w:cs="宋体"/>
                <w:i w:val="0"/>
                <w:iCs w:val="0"/>
                <w:color w:val="000000"/>
                <w:kern w:val="0"/>
                <w:sz w:val="20"/>
                <w:szCs w:val="20"/>
                <w:highlight w:val="none"/>
                <w:u w:val="none"/>
                <w:lang w:val="en-US" w:eastAsia="zh-CN" w:bidi="ar"/>
              </w:rPr>
              <w:t>322.00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行政运行</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520.08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center"/>
              <w:textAlignment w:val="center"/>
              <w:rPr>
                <w:rFonts w:ascii="仿宋_GB2312" w:hAnsi="宋体" w:eastAsia="仿宋_GB2312" w:cs="Arial"/>
                <w:color w:val="000000"/>
                <w:kern w:val="0"/>
                <w:sz w:val="18"/>
                <w:szCs w:val="18"/>
                <w:highlight w:val="none"/>
              </w:rPr>
            </w:pPr>
            <w:r>
              <w:rPr>
                <w:rFonts w:hint="eastAsia" w:ascii="宋体" w:hAnsi="宋体" w:eastAsia="宋体" w:cs="宋体"/>
                <w:i w:val="0"/>
                <w:iCs w:val="0"/>
                <w:color w:val="000000"/>
                <w:kern w:val="0"/>
                <w:sz w:val="20"/>
                <w:szCs w:val="20"/>
                <w:highlight w:val="none"/>
                <w:u w:val="none"/>
                <w:lang w:val="en-US" w:eastAsia="zh-CN" w:bidi="ar"/>
              </w:rPr>
              <w:t>322.00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行政事业单位养老支出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机关事业单位基本养老保险缴费支出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59.84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卫生健康支出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30.67</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30.67</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03</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公务员医疗补助</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7.55</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7.55</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住房保障支出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住房改革支出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住房公积金</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bl>
    <w:p>
      <w:pPr>
        <w:jc w:val="right"/>
        <w:rPr>
          <w:rFonts w:ascii="宋体" w:hAnsi="宋体"/>
          <w:b/>
          <w:szCs w:val="21"/>
          <w:highlight w:val="none"/>
        </w:rPr>
      </w:pPr>
    </w:p>
    <w:p>
      <w:pPr>
        <w:widowControl/>
        <w:jc w:val="left"/>
        <w:rPr>
          <w:rFonts w:ascii="宋体" w:hAnsi="宋体"/>
          <w:b/>
          <w:szCs w:val="21"/>
          <w:highlight w:val="none"/>
        </w:rPr>
      </w:pPr>
      <w:r>
        <w:rPr>
          <w:rFonts w:ascii="宋体" w:hAnsi="宋体"/>
          <w:b/>
          <w:szCs w:val="21"/>
          <w:highlight w:val="none"/>
        </w:rPr>
        <w:br w:type="page"/>
      </w:r>
    </w:p>
    <w:tbl>
      <w:tblPr>
        <w:tblStyle w:val="8"/>
        <w:tblW w:w="14884" w:type="dxa"/>
        <w:tblInd w:w="-34" w:type="dxa"/>
        <w:tblLayout w:type="fixed"/>
        <w:tblCellMar>
          <w:top w:w="0" w:type="dxa"/>
          <w:left w:w="108" w:type="dxa"/>
          <w:bottom w:w="0" w:type="dxa"/>
          <w:right w:w="108" w:type="dxa"/>
        </w:tblCellMar>
      </w:tblPr>
      <w:tblGrid>
        <w:gridCol w:w="2959"/>
        <w:gridCol w:w="1858"/>
        <w:gridCol w:w="3316"/>
        <w:gridCol w:w="1670"/>
        <w:gridCol w:w="1670"/>
        <w:gridCol w:w="1670"/>
        <w:gridCol w:w="1741"/>
      </w:tblGrid>
      <w:tr>
        <w:tblPrEx>
          <w:tblCellMar>
            <w:top w:w="0" w:type="dxa"/>
            <w:left w:w="108" w:type="dxa"/>
            <w:bottom w:w="0" w:type="dxa"/>
            <w:right w:w="108" w:type="dxa"/>
          </w:tblCellMar>
        </w:tblPrEx>
        <w:trPr>
          <w:trHeight w:val="340" w:hRule="atLeast"/>
          <w:tblHeader/>
        </w:trPr>
        <w:tc>
          <w:tcPr>
            <w:tcW w:w="14884" w:type="dxa"/>
            <w:gridSpan w:val="7"/>
            <w:tcBorders>
              <w:bottom w:val="single" w:color="auto" w:sz="4" w:space="0"/>
            </w:tcBorders>
            <w:shd w:val="clear" w:color="000000" w:fill="FFFFFF"/>
            <w:noWrap/>
            <w:vAlign w:val="center"/>
          </w:tcPr>
          <w:p>
            <w:pPr>
              <w:jc w:val="right"/>
              <w:rPr>
                <w:rFonts w:ascii="黑体" w:hAnsi="黑体" w:eastAsia="黑体"/>
                <w:bCs/>
                <w:szCs w:val="21"/>
                <w:highlight w:val="none"/>
              </w:rPr>
            </w:pPr>
            <w:r>
              <w:rPr>
                <w:rFonts w:hint="eastAsia" w:ascii="黑体" w:hAnsi="黑体" w:eastAsia="黑体"/>
                <w:bCs/>
                <w:szCs w:val="21"/>
                <w:highlight w:val="none"/>
              </w:rPr>
              <w:t>公开表4</w:t>
            </w:r>
          </w:p>
          <w:p>
            <w:pPr>
              <w:jc w:val="center"/>
              <w:rPr>
                <w:rFonts w:ascii="黑体" w:hAnsi="黑体" w:eastAsia="黑体"/>
                <w:bCs/>
                <w:sz w:val="28"/>
                <w:szCs w:val="28"/>
                <w:highlight w:val="none"/>
              </w:rPr>
            </w:pPr>
            <w:r>
              <w:rPr>
                <w:rFonts w:hint="eastAsia" w:ascii="黑体" w:hAnsi="黑体" w:eastAsia="黑体"/>
                <w:bCs/>
                <w:sz w:val="28"/>
                <w:szCs w:val="28"/>
                <w:highlight w:val="none"/>
              </w:rPr>
              <w:t>财政拨款收支总体情况表</w:t>
            </w:r>
          </w:p>
          <w:p>
            <w:pPr>
              <w:widowControl/>
              <w:jc w:val="right"/>
              <w:rPr>
                <w:rFonts w:ascii="黑体" w:hAnsi="黑体" w:eastAsia="黑体" w:cs="Arial"/>
                <w:color w:val="000000"/>
                <w:kern w:val="0"/>
                <w:sz w:val="18"/>
                <w:szCs w:val="18"/>
                <w:highlight w:val="none"/>
              </w:rPr>
            </w:pPr>
            <w:r>
              <w:rPr>
                <w:rFonts w:hint="eastAsia" w:ascii="仿宋_GB2312" w:hAnsi="宋体" w:eastAsia="仿宋_GB2312" w:cs="宋体"/>
                <w:kern w:val="0"/>
                <w:szCs w:val="21"/>
                <w:highlight w:val="none"/>
              </w:rPr>
              <w:t>单位：万元</w:t>
            </w:r>
          </w:p>
        </w:tc>
      </w:tr>
      <w:tr>
        <w:tblPrEx>
          <w:tblCellMar>
            <w:top w:w="0" w:type="dxa"/>
            <w:left w:w="108" w:type="dxa"/>
            <w:bottom w:w="0" w:type="dxa"/>
            <w:right w:w="108" w:type="dxa"/>
          </w:tblCellMar>
        </w:tblPrEx>
        <w:trPr>
          <w:trHeight w:val="340" w:hRule="atLeast"/>
          <w:tblHeader/>
        </w:trPr>
        <w:tc>
          <w:tcPr>
            <w:tcW w:w="4817"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    入</w:t>
            </w:r>
          </w:p>
        </w:tc>
        <w:tc>
          <w:tcPr>
            <w:tcW w:w="10067" w:type="dxa"/>
            <w:gridSpan w:val="5"/>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支    出</w:t>
            </w:r>
          </w:p>
        </w:tc>
      </w:tr>
      <w:tr>
        <w:tblPrEx>
          <w:tblCellMar>
            <w:top w:w="0" w:type="dxa"/>
            <w:left w:w="108" w:type="dxa"/>
            <w:bottom w:w="0" w:type="dxa"/>
            <w:right w:w="108" w:type="dxa"/>
          </w:tblCellMar>
        </w:tblPrEx>
        <w:trPr>
          <w:trHeight w:val="340" w:hRule="atLeast"/>
          <w:tblHeader/>
        </w:trPr>
        <w:tc>
          <w:tcPr>
            <w:tcW w:w="2959"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项目</w:t>
            </w:r>
          </w:p>
        </w:tc>
        <w:tc>
          <w:tcPr>
            <w:tcW w:w="1858"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预算数</w:t>
            </w:r>
          </w:p>
        </w:tc>
        <w:tc>
          <w:tcPr>
            <w:tcW w:w="3316"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 目</w:t>
            </w:r>
          </w:p>
        </w:tc>
        <w:tc>
          <w:tcPr>
            <w:tcW w:w="6751"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预算数</w:t>
            </w:r>
          </w:p>
        </w:tc>
      </w:tr>
      <w:tr>
        <w:tblPrEx>
          <w:tblCellMar>
            <w:top w:w="0" w:type="dxa"/>
            <w:left w:w="108" w:type="dxa"/>
            <w:bottom w:w="0" w:type="dxa"/>
            <w:right w:w="108" w:type="dxa"/>
          </w:tblCellMar>
        </w:tblPrEx>
        <w:trPr>
          <w:trHeight w:val="340" w:hRule="atLeast"/>
          <w:tblHeader/>
        </w:trPr>
        <w:tc>
          <w:tcPr>
            <w:tcW w:w="295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highlight w:val="none"/>
              </w:rPr>
            </w:pPr>
          </w:p>
        </w:tc>
        <w:tc>
          <w:tcPr>
            <w:tcW w:w="1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highlight w:val="none"/>
              </w:rPr>
            </w:pPr>
          </w:p>
        </w:tc>
        <w:tc>
          <w:tcPr>
            <w:tcW w:w="331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总计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一般公共预算</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政府性基金预算</w:t>
            </w: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国有资本经营预算</w:t>
            </w: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一、一般公共预算收入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一、一般公共服务支出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842.08</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二、政府性基金预算收入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二、外交支出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三、国有资本经营预算收入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三、国防支出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四、公共安全支出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五、教育支出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六、科学技术支出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七、文化旅游体育与传媒支出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八、社会保障和就业支出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61.14</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九、卫生健康支出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38.22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十、节能环保支出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十一、城乡社区支出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十二、农林水支出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十三、交通运输支出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十四、资源勘探工业信息等支出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十五、商业服务业等支出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十六、金融支出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十七、援助其他地区支出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十八、自然资源海洋气象等支出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十九、住房保障支出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51.09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二十、粮油物资储备支出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二十一、国有资本经营预算支出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二十二、灾害防治及应急管理支出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二十三、其他支出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本  年  收  入  合  计</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本  年  支  出  合  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上年结转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结转下年</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其中：一般公共预算结转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      政府性基金预算结转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      国有资本经营预算结转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收  入  总  计</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支  出  总  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992.52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bl>
    <w:p>
      <w:pPr>
        <w:jc w:val="left"/>
        <w:rPr>
          <w:rFonts w:hint="eastAsia" w:ascii="仿宋_GB2312" w:eastAsia="仿宋_GB2312"/>
          <w:b/>
          <w:szCs w:val="21"/>
          <w:highlight w:val="none"/>
        </w:rPr>
      </w:pPr>
    </w:p>
    <w:p>
      <w:pPr>
        <w:jc w:val="left"/>
        <w:rPr>
          <w:rFonts w:ascii="仿宋_GB2312" w:eastAsia="仿宋_GB2312"/>
          <w:b/>
          <w:sz w:val="30"/>
          <w:szCs w:val="30"/>
          <w:highlight w:val="none"/>
        </w:rPr>
      </w:pPr>
      <w:r>
        <w:rPr>
          <w:rFonts w:ascii="仿宋_GB2312" w:eastAsia="仿宋_GB2312"/>
          <w:b/>
          <w:sz w:val="30"/>
          <w:szCs w:val="30"/>
          <w:highlight w:val="none"/>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8"/>
        <w:gridCol w:w="3060"/>
        <w:gridCol w:w="1670"/>
        <w:gridCol w:w="1793"/>
        <w:gridCol w:w="1793"/>
        <w:gridCol w:w="1793"/>
        <w:gridCol w:w="1624"/>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highlight w:val="none"/>
              </w:rPr>
            </w:pPr>
            <w:bookmarkStart w:id="1" w:name="_Hlk94088461"/>
            <w:r>
              <w:rPr>
                <w:rFonts w:hint="eastAsia" w:ascii="黑体" w:hAnsi="黑体" w:eastAsia="黑体"/>
                <w:bCs/>
                <w:szCs w:val="21"/>
                <w:highlight w:val="none"/>
              </w:rPr>
              <w:t>公开表5</w:t>
            </w:r>
          </w:p>
          <w:p>
            <w:pPr>
              <w:jc w:val="center"/>
              <w:rPr>
                <w:rFonts w:ascii="黑体" w:hAnsi="黑体" w:eastAsia="黑体"/>
                <w:bCs/>
                <w:sz w:val="28"/>
                <w:szCs w:val="28"/>
                <w:highlight w:val="none"/>
              </w:rPr>
            </w:pPr>
            <w:r>
              <w:rPr>
                <w:rFonts w:hint="eastAsia" w:ascii="黑体" w:hAnsi="黑体" w:eastAsia="黑体"/>
                <w:bCs/>
                <w:sz w:val="28"/>
                <w:szCs w:val="28"/>
                <w:highlight w:val="none"/>
              </w:rPr>
              <w:t>一般公共预算支出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p>
            <w:pPr>
              <w:widowControl/>
              <w:jc w:val="right"/>
              <w:textAlignment w:val="center"/>
              <w:rPr>
                <w:rFonts w:ascii="宋体" w:hAnsi="宋体" w:cs="宋体"/>
                <w:color w:val="000000"/>
                <w:sz w:val="20"/>
                <w:szCs w:val="20"/>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84" w:hRule="atLeast"/>
          <w:tblHeader/>
        </w:trPr>
        <w:tc>
          <w:tcPr>
            <w:tcW w:w="2867"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科目编码</w:t>
            </w:r>
          </w:p>
        </w:tc>
        <w:tc>
          <w:tcPr>
            <w:tcW w:w="30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基本支出</w:t>
            </w:r>
          </w:p>
        </w:tc>
        <w:tc>
          <w:tcPr>
            <w:tcW w:w="1624"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款</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w:t>
            </w: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日常公用支出</w:t>
            </w: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499" w:hRule="atLeast"/>
        </w:trPr>
        <w:tc>
          <w:tcPr>
            <w:tcW w:w="592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highlight w:val="none"/>
              </w:rPr>
            </w:pPr>
            <w:r>
              <w:rPr>
                <w:rFonts w:hint="eastAsia" w:ascii="仿宋_GB2312" w:hAnsi="宋体" w:eastAsia="仿宋_GB2312" w:cs="宋体"/>
                <w:color w:val="000000"/>
                <w:kern w:val="0"/>
                <w:sz w:val="18"/>
                <w:szCs w:val="18"/>
                <w:highlight w:val="none"/>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992.52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670.52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600.52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70.00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322.00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一般公共服务支出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842.08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520.08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450.08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70.00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322.00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统战事务</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842.08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520.08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450.08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70.00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322.00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行政运行</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842.08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520.08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450.08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70.00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322.00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61.14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61.14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61.14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05</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行政事业单位养老支出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59.84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59.84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59.84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05</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05</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机关事业单位基本养老保险缴费支出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59.84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59.84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59.84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其他社会保障和就业支出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其他社会保障和就业支出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卫生健康支出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38.22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38.22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38.22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行政事业单位医疗</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38.22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38.22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38.22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行政单位医疗</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30.67</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30.67</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30.67</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03</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公务员医疗补助</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7.55</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7.55</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7.55</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221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住房保障支出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221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02</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住房改革支出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221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02</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住房公积金</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51.09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bookmarkEnd w:id="1"/>
    </w:tbl>
    <w:p>
      <w:pPr>
        <w:ind w:right="210"/>
        <w:jc w:val="right"/>
        <w:rPr>
          <w:rFonts w:ascii="宋体" w:hAnsi="宋体"/>
          <w:b/>
          <w:szCs w:val="21"/>
          <w:highlight w:val="none"/>
        </w:rPr>
      </w:pPr>
    </w:p>
    <w:p>
      <w:pPr>
        <w:widowControl/>
        <w:jc w:val="left"/>
        <w:rPr>
          <w:rFonts w:ascii="宋体" w:hAnsi="宋体"/>
          <w:b/>
          <w:szCs w:val="21"/>
          <w:highlight w:val="none"/>
        </w:rPr>
      </w:pPr>
      <w:r>
        <w:rPr>
          <w:rFonts w:ascii="宋体" w:hAnsi="宋体"/>
          <w:b/>
          <w:szCs w:val="21"/>
          <w:highlight w:val="none"/>
        </w:rPr>
        <w:br w:type="page"/>
      </w:r>
    </w:p>
    <w:tbl>
      <w:tblPr>
        <w:tblStyle w:val="8"/>
        <w:tblW w:w="14589" w:type="dxa"/>
        <w:tblInd w:w="0" w:type="dxa"/>
        <w:tblLayout w:type="fixed"/>
        <w:tblCellMar>
          <w:top w:w="0" w:type="dxa"/>
          <w:left w:w="0" w:type="dxa"/>
          <w:bottom w:w="0" w:type="dxa"/>
          <w:right w:w="0" w:type="dxa"/>
        </w:tblCellMar>
      </w:tblPr>
      <w:tblGrid>
        <w:gridCol w:w="686"/>
        <w:gridCol w:w="660"/>
        <w:gridCol w:w="2938"/>
        <w:gridCol w:w="686"/>
        <w:gridCol w:w="709"/>
        <w:gridCol w:w="3886"/>
        <w:gridCol w:w="1672"/>
        <w:gridCol w:w="1672"/>
        <w:gridCol w:w="1680"/>
      </w:tblGrid>
      <w:tr>
        <w:tblPrEx>
          <w:tblCellMar>
            <w:top w:w="0" w:type="dxa"/>
            <w:left w:w="0" w:type="dxa"/>
            <w:bottom w:w="0" w:type="dxa"/>
            <w:right w:w="0" w:type="dxa"/>
          </w:tblCellMar>
        </w:tblPrEx>
        <w:trPr>
          <w:trHeight w:val="473"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eastAsia="黑体" w:cs="宋体"/>
                <w:color w:val="000000"/>
                <w:sz w:val="18"/>
                <w:szCs w:val="18"/>
                <w:highlight w:val="none"/>
              </w:rPr>
            </w:pPr>
            <w:r>
              <w:rPr>
                <w:rFonts w:hint="eastAsia" w:ascii="黑体" w:hAnsi="黑体" w:eastAsia="黑体"/>
                <w:bCs/>
                <w:szCs w:val="21"/>
                <w:highlight w:val="none"/>
              </w:rPr>
              <w:t>公开表</w:t>
            </w:r>
            <w:r>
              <w:rPr>
                <w:rFonts w:ascii="黑体" w:hAnsi="黑体" w:eastAsia="黑体"/>
                <w:bCs/>
                <w:szCs w:val="21"/>
                <w:highlight w:val="none"/>
              </w:rPr>
              <w:t>6</w:t>
            </w:r>
          </w:p>
        </w:tc>
      </w:tr>
      <w:tr>
        <w:tblPrEx>
          <w:tblCellMar>
            <w:top w:w="0" w:type="dxa"/>
            <w:left w:w="0" w:type="dxa"/>
            <w:bottom w:w="0" w:type="dxa"/>
            <w:right w:w="0" w:type="dxa"/>
          </w:tblCellMar>
        </w:tblPrEx>
        <w:trPr>
          <w:trHeight w:val="641"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highlight w:val="none"/>
              </w:rPr>
            </w:pPr>
            <w:r>
              <w:rPr>
                <w:rFonts w:hint="eastAsia" w:ascii="黑体" w:hAnsi="黑体" w:eastAsia="黑体"/>
                <w:bCs/>
                <w:sz w:val="28"/>
                <w:szCs w:val="28"/>
                <w:highlight w:val="none"/>
              </w:rPr>
              <w:t>一般公共预算基本支出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tc>
      </w:tr>
      <w:tr>
        <w:tblPrEx>
          <w:tblCellMar>
            <w:top w:w="0" w:type="dxa"/>
            <w:left w:w="0" w:type="dxa"/>
            <w:bottom w:w="0" w:type="dxa"/>
            <w:right w:w="0" w:type="dxa"/>
          </w:tblCellMar>
        </w:tblPrEx>
        <w:trPr>
          <w:trHeight w:val="363"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10" w:hRule="atLeast"/>
        </w:trPr>
        <w:tc>
          <w:tcPr>
            <w:tcW w:w="1346"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科目编码</w:t>
            </w:r>
          </w:p>
        </w:tc>
        <w:tc>
          <w:tcPr>
            <w:tcW w:w="29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部门预算支出</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经济分类科目名称</w:t>
            </w:r>
          </w:p>
        </w:tc>
        <w:tc>
          <w:tcPr>
            <w:tcW w:w="1395" w:type="dxa"/>
            <w:gridSpan w:val="2"/>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科目编码</w:t>
            </w:r>
          </w:p>
        </w:tc>
        <w:tc>
          <w:tcPr>
            <w:tcW w:w="3886" w:type="dxa"/>
            <w:vMerge w:val="restart"/>
            <w:tcBorders>
              <w:top w:val="single" w:color="auto" w:sz="4" w:space="0"/>
              <w:left w:val="nil"/>
              <w:right w:val="single" w:color="000000" w:sz="4" w:space="0"/>
            </w:tcBorders>
            <w:shd w:val="clear" w:color="000000" w:fill="FFFFFF"/>
            <w:vAlign w:val="center"/>
          </w:tcPr>
          <w:p>
            <w:pPr>
              <w:widowControl/>
              <w:jc w:val="center"/>
              <w:textAlignment w:val="center"/>
              <w:rPr>
                <w:rFonts w:hint="eastAsia" w:ascii="黑体" w:hAnsi="黑体" w:eastAsia="黑体" w:cs="黑体"/>
                <w:color w:val="000000"/>
                <w:sz w:val="18"/>
                <w:szCs w:val="18"/>
                <w:highlight w:val="none"/>
              </w:rPr>
            </w:pPr>
            <w:r>
              <w:rPr>
                <w:rFonts w:hint="eastAsia" w:ascii="黑体" w:hAnsi="黑体" w:eastAsia="黑体" w:cs="黑体"/>
                <w:color w:val="000000"/>
                <w:sz w:val="18"/>
                <w:szCs w:val="18"/>
                <w:highlight w:val="none"/>
              </w:rPr>
              <w:t>政府预算支出</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经济分类科目名称</w:t>
            </w:r>
          </w:p>
        </w:tc>
        <w:tc>
          <w:tcPr>
            <w:tcW w:w="5024" w:type="dxa"/>
            <w:gridSpan w:val="3"/>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基本支出预算</w:t>
            </w:r>
          </w:p>
        </w:tc>
      </w:tr>
      <w:tr>
        <w:tblPrEx>
          <w:tblCellMar>
            <w:top w:w="0" w:type="dxa"/>
            <w:left w:w="0" w:type="dxa"/>
            <w:bottom w:w="0" w:type="dxa"/>
            <w:right w:w="0" w:type="dxa"/>
          </w:tblCellMar>
        </w:tblPrEx>
        <w:trPr>
          <w:trHeight w:val="43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类</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款</w:t>
            </w:r>
          </w:p>
        </w:tc>
        <w:tc>
          <w:tcPr>
            <w:tcW w:w="29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类</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款</w:t>
            </w:r>
          </w:p>
        </w:tc>
        <w:tc>
          <w:tcPr>
            <w:tcW w:w="3886" w:type="dxa"/>
            <w:vMerge w:val="continue"/>
            <w:tcBorders>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p>
        </w:tc>
        <w:tc>
          <w:tcPr>
            <w:tcW w:w="1672" w:type="dxa"/>
            <w:tcBorders>
              <w:top w:val="nil"/>
              <w:left w:val="single" w:color="000000"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人员支出</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日常公用支出</w:t>
            </w:r>
          </w:p>
        </w:tc>
      </w:tr>
      <w:tr>
        <w:tblPrEx>
          <w:tblCellMar>
            <w:top w:w="0" w:type="dxa"/>
            <w:left w:w="0" w:type="dxa"/>
            <w:bottom w:w="0" w:type="dxa"/>
            <w:right w:w="0" w:type="dxa"/>
          </w:tblCellMar>
        </w:tblPrEx>
        <w:trPr>
          <w:trHeight w:val="375" w:hRule="atLeast"/>
        </w:trPr>
        <w:tc>
          <w:tcPr>
            <w:tcW w:w="9565"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合    计</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670.52</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600.52</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70.00</w:t>
            </w:r>
          </w:p>
        </w:tc>
      </w:tr>
      <w:tr>
        <w:tblPrEx>
          <w:tblCellMar>
            <w:top w:w="0" w:type="dxa"/>
            <w:left w:w="0" w:type="dxa"/>
            <w:bottom w:w="0" w:type="dxa"/>
            <w:right w:w="0" w:type="dxa"/>
          </w:tblCellMar>
        </w:tblPrEx>
        <w:trPr>
          <w:trHeight w:val="37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301</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工资福利支出</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机关工资福利支出</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576.06</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576.06</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基本工资</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工资奖金津补贴</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134.37</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134.37</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津贴补贴</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工资奖金津补贴</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150.48</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150.48</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奖金</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工资奖金津补贴</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140.76</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140.76</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08</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机关事业单位基本养老保险缴费</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59.84</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59.84</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10</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职工基本医疗保险缴费</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30.67</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30.67</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公务员医疗补助缴费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7.55</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7.55</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其他社会保障缴费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1.30</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住房公积金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住房公积金</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51.09</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51.09</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机关商品和服务支出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92.42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22.42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70.00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25.50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25.50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印刷费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07</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邮电费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差旅费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维修（护）费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09</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维修（护）费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15</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会议费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会议费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16</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培训费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培训费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17</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公务接待费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06</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公务接待费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39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其他交通费用</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22.42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22.42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99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99</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303</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对个人和家庭的补助</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对个人和家庭的补助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2.05</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2.05</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303</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05</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生活补助</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社会福利和救助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2.03</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2.03</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303</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奖励金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社会福利和救助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0.02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0.02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bl>
    <w:p>
      <w:pPr>
        <w:widowControl/>
        <w:jc w:val="left"/>
        <w:rPr>
          <w:rFonts w:ascii="宋体" w:hAnsi="宋体"/>
          <w:b/>
          <w:szCs w:val="21"/>
          <w:highlight w:val="none"/>
        </w:rPr>
      </w:pPr>
      <w:r>
        <w:rPr>
          <w:rFonts w:ascii="仿宋_GB2312" w:eastAsia="仿宋_GB2312"/>
          <w:b/>
          <w:sz w:val="30"/>
          <w:szCs w:val="30"/>
          <w:highlight w:val="none"/>
        </w:rPr>
        <w:br w:type="page"/>
      </w:r>
    </w:p>
    <w:tbl>
      <w:tblPr>
        <w:tblStyle w:val="8"/>
        <w:tblW w:w="14590" w:type="dxa"/>
        <w:tblInd w:w="0" w:type="dxa"/>
        <w:tblLayout w:type="fixed"/>
        <w:tblCellMar>
          <w:top w:w="0" w:type="dxa"/>
          <w:left w:w="0" w:type="dxa"/>
          <w:bottom w:w="0" w:type="dxa"/>
          <w:right w:w="0" w:type="dxa"/>
        </w:tblCellMar>
      </w:tblPr>
      <w:tblGrid>
        <w:gridCol w:w="1179"/>
        <w:gridCol w:w="1211"/>
        <w:gridCol w:w="1138"/>
        <w:gridCol w:w="1234"/>
        <w:gridCol w:w="1167"/>
        <w:gridCol w:w="1339"/>
        <w:gridCol w:w="1138"/>
        <w:gridCol w:w="1278"/>
        <w:gridCol w:w="1147"/>
        <w:gridCol w:w="1129"/>
        <w:gridCol w:w="1202"/>
        <w:gridCol w:w="1428"/>
      </w:tblGrid>
      <w:tr>
        <w:tblPrEx>
          <w:tblCellMar>
            <w:top w:w="0" w:type="dxa"/>
            <w:left w:w="0" w:type="dxa"/>
            <w:bottom w:w="0" w:type="dxa"/>
            <w:right w:w="0" w:type="dxa"/>
          </w:tblCellMar>
        </w:tblPrEx>
        <w:trPr>
          <w:trHeight w:val="405" w:hRule="atLeast"/>
        </w:trPr>
        <w:tc>
          <w:tcPr>
            <w:tcW w:w="14590" w:type="dxa"/>
            <w:gridSpan w:val="12"/>
            <w:tcBorders>
              <w:top w:val="nil"/>
              <w:left w:val="nil"/>
              <w:bottom w:val="nil"/>
              <w:right w:val="nil"/>
            </w:tcBorders>
            <w:shd w:val="clear" w:color="000000" w:fill="FFFFFF"/>
            <w:noWrap/>
            <w:tcMar>
              <w:top w:w="10" w:type="dxa"/>
              <w:left w:w="10" w:type="dxa"/>
              <w:right w:w="10" w:type="dxa"/>
            </w:tcMar>
            <w:vAlign w:val="center"/>
          </w:tcPr>
          <w:p>
            <w:pPr>
              <w:jc w:val="right"/>
              <w:rPr>
                <w:rFonts w:ascii="黑体" w:hAnsi="黑体" w:eastAsia="黑体"/>
                <w:bCs/>
                <w:szCs w:val="21"/>
                <w:highlight w:val="none"/>
              </w:rPr>
            </w:pPr>
            <w:r>
              <w:rPr>
                <w:rFonts w:hint="eastAsia" w:ascii="黑体" w:hAnsi="黑体" w:eastAsia="黑体"/>
                <w:bCs/>
                <w:szCs w:val="21"/>
                <w:highlight w:val="none"/>
              </w:rPr>
              <w:t>公开表</w:t>
            </w:r>
            <w:r>
              <w:rPr>
                <w:rFonts w:ascii="黑体" w:hAnsi="黑体" w:eastAsia="黑体"/>
                <w:bCs/>
                <w:szCs w:val="21"/>
                <w:highlight w:val="none"/>
              </w:rPr>
              <w:t>7</w:t>
            </w:r>
          </w:p>
        </w:tc>
      </w:tr>
      <w:tr>
        <w:tblPrEx>
          <w:tblCellMar>
            <w:top w:w="0" w:type="dxa"/>
            <w:left w:w="0" w:type="dxa"/>
            <w:bottom w:w="0" w:type="dxa"/>
            <w:right w:w="0" w:type="dxa"/>
          </w:tblCellMar>
        </w:tblPrEx>
        <w:trPr>
          <w:trHeight w:val="585" w:hRule="atLeast"/>
        </w:trPr>
        <w:tc>
          <w:tcPr>
            <w:tcW w:w="14590" w:type="dxa"/>
            <w:gridSpan w:val="12"/>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黑体" w:hAnsi="黑体" w:eastAsia="黑体"/>
                <w:bCs/>
                <w:sz w:val="28"/>
                <w:szCs w:val="28"/>
                <w:highlight w:val="none"/>
              </w:rPr>
            </w:pPr>
            <w:r>
              <w:rPr>
                <w:rFonts w:hint="eastAsia" w:ascii="黑体" w:hAnsi="黑体" w:eastAsia="黑体"/>
                <w:bCs/>
                <w:sz w:val="28"/>
                <w:szCs w:val="28"/>
                <w:highlight w:val="none"/>
              </w:rPr>
              <w:t>一般公共预算“三公”经费支出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tc>
      </w:tr>
      <w:tr>
        <w:tblPrEx>
          <w:tblCellMar>
            <w:top w:w="0" w:type="dxa"/>
            <w:left w:w="0" w:type="dxa"/>
            <w:bottom w:w="0" w:type="dxa"/>
            <w:right w:w="0" w:type="dxa"/>
          </w:tblCellMar>
        </w:tblPrEx>
        <w:trPr>
          <w:trHeight w:val="480" w:hRule="atLeast"/>
        </w:trPr>
        <w:tc>
          <w:tcPr>
            <w:tcW w:w="14590" w:type="dxa"/>
            <w:gridSpan w:val="12"/>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单位：万元</w:t>
            </w:r>
          </w:p>
        </w:tc>
      </w:tr>
      <w:tr>
        <w:tblPrEx>
          <w:tblCellMar>
            <w:top w:w="0" w:type="dxa"/>
            <w:left w:w="0" w:type="dxa"/>
            <w:bottom w:w="0" w:type="dxa"/>
            <w:right w:w="0" w:type="dxa"/>
          </w:tblCellMar>
        </w:tblPrEx>
        <w:trPr>
          <w:trHeight w:val="480" w:hRule="atLeast"/>
        </w:trPr>
        <w:tc>
          <w:tcPr>
            <w:tcW w:w="7268"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eastAsia="zh-CN" w:bidi="ar"/>
              </w:rPr>
              <w:t>2022</w:t>
            </w:r>
            <w:r>
              <w:rPr>
                <w:rFonts w:hint="eastAsia" w:ascii="黑体" w:hAnsi="黑体" w:eastAsia="黑体" w:cs="黑体"/>
                <w:color w:val="000000"/>
                <w:kern w:val="0"/>
                <w:sz w:val="18"/>
                <w:szCs w:val="18"/>
                <w:highlight w:val="none"/>
                <w:lang w:bidi="ar"/>
              </w:rPr>
              <w:t>年预算数</w:t>
            </w:r>
          </w:p>
        </w:tc>
        <w:tc>
          <w:tcPr>
            <w:tcW w:w="7322"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eastAsia="zh-CN" w:bidi="ar"/>
              </w:rPr>
              <w:t>2023</w:t>
            </w:r>
            <w:r>
              <w:rPr>
                <w:rFonts w:hint="eastAsia" w:ascii="黑体" w:hAnsi="黑体" w:eastAsia="黑体" w:cs="黑体"/>
                <w:color w:val="000000"/>
                <w:kern w:val="0"/>
                <w:sz w:val="18"/>
                <w:szCs w:val="18"/>
                <w:highlight w:val="none"/>
                <w:lang w:bidi="ar"/>
              </w:rPr>
              <w:t>年预算数</w:t>
            </w:r>
          </w:p>
        </w:tc>
      </w:tr>
      <w:tr>
        <w:tblPrEx>
          <w:tblCellMar>
            <w:top w:w="0" w:type="dxa"/>
            <w:left w:w="0" w:type="dxa"/>
            <w:bottom w:w="0" w:type="dxa"/>
            <w:right w:w="0" w:type="dxa"/>
          </w:tblCellMar>
        </w:tblPrEx>
        <w:trPr>
          <w:trHeight w:val="590" w:hRule="atLeast"/>
        </w:trPr>
        <w:tc>
          <w:tcPr>
            <w:tcW w:w="1179"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12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因公出国</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（境）经费</w:t>
            </w:r>
          </w:p>
        </w:tc>
        <w:tc>
          <w:tcPr>
            <w:tcW w:w="353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公务用车购置及运行维护费</w:t>
            </w:r>
          </w:p>
        </w:tc>
        <w:tc>
          <w:tcPr>
            <w:tcW w:w="1339"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公务接待费</w:t>
            </w:r>
          </w:p>
        </w:tc>
        <w:tc>
          <w:tcPr>
            <w:tcW w:w="11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1278"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因公出国</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（境）经费</w:t>
            </w:r>
          </w:p>
        </w:tc>
        <w:tc>
          <w:tcPr>
            <w:tcW w:w="347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公务用车购置及运行维护费</w:t>
            </w:r>
          </w:p>
        </w:tc>
        <w:tc>
          <w:tcPr>
            <w:tcW w:w="142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公务接待费</w:t>
            </w:r>
          </w:p>
        </w:tc>
      </w:tr>
      <w:tr>
        <w:tblPrEx>
          <w:tblCellMar>
            <w:top w:w="0" w:type="dxa"/>
            <w:left w:w="0" w:type="dxa"/>
            <w:bottom w:w="0" w:type="dxa"/>
            <w:right w:w="0" w:type="dxa"/>
          </w:tblCellMar>
        </w:tblPrEx>
        <w:trPr>
          <w:trHeight w:val="700" w:hRule="atLeast"/>
        </w:trPr>
        <w:tc>
          <w:tcPr>
            <w:tcW w:w="1179"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2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38"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234"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购置经费</w:t>
            </w:r>
          </w:p>
        </w:tc>
        <w:tc>
          <w:tcPr>
            <w:tcW w:w="116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运行维护费</w:t>
            </w:r>
          </w:p>
        </w:tc>
        <w:tc>
          <w:tcPr>
            <w:tcW w:w="1339"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278"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4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129"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购置经费</w:t>
            </w:r>
          </w:p>
        </w:tc>
        <w:tc>
          <w:tcPr>
            <w:tcW w:w="1202"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运行维护费</w:t>
            </w:r>
          </w:p>
        </w:tc>
        <w:tc>
          <w:tcPr>
            <w:tcW w:w="142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3.00</w:t>
            </w: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3.00</w:t>
            </w: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3.00</w:t>
            </w: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3.00</w:t>
            </w: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bl>
    <w:p>
      <w:pPr>
        <w:widowControl/>
        <w:jc w:val="left"/>
        <w:rPr>
          <w:rFonts w:ascii="宋体" w:hAnsi="宋体"/>
          <w:b/>
          <w:szCs w:val="21"/>
          <w:highlight w:val="none"/>
        </w:rPr>
      </w:pPr>
      <w:r>
        <w:rPr>
          <w:rFonts w:hint="eastAsia" w:ascii="黑体" w:hAnsi="黑体" w:eastAsia="黑体"/>
          <w:bCs/>
          <w:szCs w:val="21"/>
          <w:highlight w:val="none"/>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5"/>
        <w:gridCol w:w="3066"/>
        <w:gridCol w:w="1670"/>
        <w:gridCol w:w="1793"/>
        <w:gridCol w:w="1793"/>
        <w:gridCol w:w="1793"/>
        <w:gridCol w:w="1621"/>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highlight w:val="none"/>
              </w:rPr>
            </w:pPr>
            <w:r>
              <w:rPr>
                <w:rFonts w:hint="eastAsia" w:ascii="黑体" w:hAnsi="黑体" w:eastAsia="黑体"/>
                <w:bCs/>
                <w:szCs w:val="21"/>
                <w:highlight w:val="none"/>
              </w:rPr>
              <w:t>公开表</w:t>
            </w:r>
            <w:r>
              <w:rPr>
                <w:rFonts w:ascii="黑体" w:hAnsi="黑体" w:eastAsia="黑体"/>
                <w:bCs/>
                <w:szCs w:val="21"/>
                <w:highlight w:val="none"/>
              </w:rPr>
              <w:t>8</w:t>
            </w:r>
          </w:p>
          <w:p>
            <w:pPr>
              <w:jc w:val="center"/>
              <w:rPr>
                <w:rFonts w:ascii="黑体" w:hAnsi="黑体" w:eastAsia="黑体"/>
                <w:bCs/>
                <w:sz w:val="28"/>
                <w:szCs w:val="28"/>
                <w:highlight w:val="none"/>
              </w:rPr>
            </w:pPr>
            <w:r>
              <w:rPr>
                <w:rFonts w:hint="eastAsia" w:ascii="黑体" w:hAnsi="黑体" w:eastAsia="黑体"/>
                <w:bCs/>
                <w:sz w:val="28"/>
                <w:szCs w:val="28"/>
                <w:highlight w:val="none"/>
              </w:rPr>
              <w:t>政府性基金预算支出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p>
            <w:pPr>
              <w:widowControl/>
              <w:jc w:val="right"/>
              <w:textAlignment w:val="center"/>
              <w:rPr>
                <w:rFonts w:ascii="宋体" w:hAnsi="宋体" w:cs="宋体"/>
                <w:color w:val="000000"/>
                <w:sz w:val="20"/>
                <w:szCs w:val="20"/>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84" w:hRule="atLeast"/>
          <w:tblHeader/>
        </w:trPr>
        <w:tc>
          <w:tcPr>
            <w:tcW w:w="2864"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科目编码</w:t>
            </w:r>
          </w:p>
        </w:tc>
        <w:tc>
          <w:tcPr>
            <w:tcW w:w="306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基本支出</w:t>
            </w:r>
          </w:p>
        </w:tc>
        <w:tc>
          <w:tcPr>
            <w:tcW w:w="1621"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款</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w:t>
            </w:r>
          </w:p>
        </w:tc>
        <w:tc>
          <w:tcPr>
            <w:tcW w:w="306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日常公用支出</w:t>
            </w:r>
          </w:p>
        </w:tc>
        <w:tc>
          <w:tcPr>
            <w:tcW w:w="1621"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306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21"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499" w:hRule="atLeast"/>
        </w:trPr>
        <w:tc>
          <w:tcPr>
            <w:tcW w:w="593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highlight w:val="none"/>
              </w:rPr>
            </w:pPr>
            <w:r>
              <w:rPr>
                <w:rFonts w:hint="eastAsia" w:ascii="仿宋_GB2312" w:hAnsi="宋体" w:eastAsia="仿宋_GB2312" w:cs="宋体"/>
                <w:color w:val="000000"/>
                <w:kern w:val="0"/>
                <w:sz w:val="18"/>
                <w:szCs w:val="18"/>
                <w:highlight w:val="none"/>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bl>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2023</w:t>
      </w:r>
      <w:r>
        <w:rPr>
          <w:rFonts w:hint="eastAsia" w:ascii="仿宋_GB2312" w:eastAsia="仿宋_GB2312"/>
          <w:b/>
          <w:szCs w:val="21"/>
          <w:highlight w:val="none"/>
        </w:rPr>
        <w:t>年没有使用政府性基金预算拨款安排的支出。）</w:t>
      </w:r>
    </w:p>
    <w:p>
      <w:pPr>
        <w:widowControl/>
        <w:jc w:val="left"/>
        <w:rPr>
          <w:rFonts w:ascii="楷体_GB2312" w:eastAsia="楷体_GB2312"/>
          <w:sz w:val="32"/>
          <w:szCs w:val="32"/>
          <w:highlight w:val="none"/>
        </w:rPr>
      </w:pPr>
      <w:r>
        <w:rPr>
          <w:rFonts w:ascii="楷体_GB2312" w:eastAsia="楷体_GB2312"/>
          <w:sz w:val="32"/>
          <w:szCs w:val="32"/>
          <w:highlight w:val="none"/>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8"/>
        <w:gridCol w:w="3060"/>
        <w:gridCol w:w="1670"/>
        <w:gridCol w:w="1793"/>
        <w:gridCol w:w="1793"/>
        <w:gridCol w:w="1793"/>
        <w:gridCol w:w="1624"/>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黑体" w:hAnsi="黑体" w:eastAsia="黑体"/>
                <w:bCs/>
                <w:szCs w:val="21"/>
                <w:highlight w:val="none"/>
                <w:lang w:eastAsia="zh-CN"/>
              </w:rPr>
            </w:pPr>
            <w:r>
              <w:rPr>
                <w:rFonts w:hint="eastAsia" w:ascii="黑体" w:hAnsi="黑体" w:eastAsia="黑体"/>
                <w:bCs/>
                <w:szCs w:val="21"/>
                <w:highlight w:val="none"/>
              </w:rPr>
              <w:t>公开表</w:t>
            </w:r>
            <w:r>
              <w:rPr>
                <w:rFonts w:hint="eastAsia" w:ascii="黑体" w:hAnsi="黑体" w:eastAsia="黑体"/>
                <w:bCs/>
                <w:szCs w:val="21"/>
                <w:highlight w:val="none"/>
                <w:lang w:val="en-US" w:eastAsia="zh-CN"/>
              </w:rPr>
              <w:t>9</w:t>
            </w:r>
          </w:p>
          <w:p>
            <w:pPr>
              <w:jc w:val="center"/>
              <w:rPr>
                <w:rFonts w:ascii="黑体" w:hAnsi="黑体" w:eastAsia="黑体"/>
                <w:bCs/>
                <w:sz w:val="28"/>
                <w:szCs w:val="28"/>
                <w:highlight w:val="none"/>
              </w:rPr>
            </w:pPr>
            <w:r>
              <w:rPr>
                <w:rFonts w:hint="eastAsia" w:ascii="黑体" w:hAnsi="黑体" w:eastAsia="黑体"/>
                <w:bCs/>
                <w:sz w:val="28"/>
                <w:szCs w:val="28"/>
                <w:highlight w:val="none"/>
              </w:rPr>
              <w:t>国有资本经营预算支出情况表</w:t>
            </w:r>
          </w:p>
          <w:p>
            <w:pPr>
              <w:widowControl/>
              <w:jc w:val="right"/>
              <w:textAlignment w:val="center"/>
              <w:rPr>
                <w:rFonts w:ascii="宋体" w:hAnsi="宋体" w:cs="宋体"/>
                <w:color w:val="000000"/>
                <w:sz w:val="20"/>
                <w:szCs w:val="20"/>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84" w:hRule="atLeast"/>
          <w:tblHeader/>
        </w:trPr>
        <w:tc>
          <w:tcPr>
            <w:tcW w:w="2867"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科目编码</w:t>
            </w:r>
          </w:p>
        </w:tc>
        <w:tc>
          <w:tcPr>
            <w:tcW w:w="30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基本支出</w:t>
            </w:r>
          </w:p>
        </w:tc>
        <w:tc>
          <w:tcPr>
            <w:tcW w:w="1624"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款</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w:t>
            </w: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日常公用支出</w:t>
            </w: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499" w:hRule="atLeast"/>
        </w:trPr>
        <w:tc>
          <w:tcPr>
            <w:tcW w:w="592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highlight w:val="none"/>
              </w:rPr>
            </w:pPr>
            <w:r>
              <w:rPr>
                <w:rFonts w:hint="eastAsia" w:ascii="仿宋_GB2312" w:hAnsi="宋体" w:eastAsia="仿宋_GB2312" w:cs="宋体"/>
                <w:color w:val="000000"/>
                <w:kern w:val="0"/>
                <w:sz w:val="18"/>
                <w:szCs w:val="18"/>
                <w:highlight w:val="none"/>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bl>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2023</w:t>
      </w:r>
      <w:r>
        <w:rPr>
          <w:rFonts w:hint="eastAsia" w:ascii="仿宋_GB2312" w:eastAsia="仿宋_GB2312"/>
          <w:b/>
          <w:szCs w:val="21"/>
          <w:highlight w:val="none"/>
        </w:rPr>
        <w:t>年没有使用国有资本经营预算拨款安排的支出。）</w:t>
      </w:r>
    </w:p>
    <w:p>
      <w:pPr>
        <w:widowControl/>
        <w:jc w:val="left"/>
        <w:rPr>
          <w:rFonts w:ascii="楷体_GB2312" w:eastAsia="楷体_GB2312"/>
          <w:sz w:val="32"/>
          <w:szCs w:val="32"/>
          <w:highlight w:val="none"/>
        </w:rPr>
      </w:pPr>
      <w:r>
        <w:rPr>
          <w:rFonts w:ascii="楷体_GB2312" w:eastAsia="楷体_GB2312"/>
          <w:sz w:val="32"/>
          <w:szCs w:val="32"/>
          <w:highlight w:val="none"/>
        </w:rPr>
        <w:br w:type="page"/>
      </w:r>
    </w:p>
    <w:tbl>
      <w:tblPr>
        <w:tblStyle w:val="8"/>
        <w:tblW w:w="14594" w:type="dxa"/>
        <w:tblInd w:w="0" w:type="dxa"/>
        <w:tblLayout w:type="fixed"/>
        <w:tblCellMar>
          <w:top w:w="0" w:type="dxa"/>
          <w:left w:w="0" w:type="dxa"/>
          <w:bottom w:w="0" w:type="dxa"/>
          <w:right w:w="0" w:type="dxa"/>
        </w:tblCellMar>
      </w:tblPr>
      <w:tblGrid>
        <w:gridCol w:w="1014"/>
        <w:gridCol w:w="1014"/>
        <w:gridCol w:w="1014"/>
        <w:gridCol w:w="1014"/>
        <w:gridCol w:w="1014"/>
        <w:gridCol w:w="1014"/>
        <w:gridCol w:w="945"/>
        <w:gridCol w:w="945"/>
        <w:gridCol w:w="945"/>
        <w:gridCol w:w="945"/>
        <w:gridCol w:w="946"/>
        <w:gridCol w:w="946"/>
        <w:gridCol w:w="946"/>
        <w:gridCol w:w="946"/>
        <w:gridCol w:w="946"/>
      </w:tblGrid>
      <w:tr>
        <w:tblPrEx>
          <w:tblCellMar>
            <w:top w:w="0" w:type="dxa"/>
            <w:left w:w="0" w:type="dxa"/>
            <w:bottom w:w="0" w:type="dxa"/>
            <w:right w:w="0" w:type="dxa"/>
          </w:tblCellMar>
        </w:tblPrEx>
        <w:trPr>
          <w:trHeight w:val="340" w:hRule="atLeast"/>
        </w:trPr>
        <w:tc>
          <w:tcPr>
            <w:tcW w:w="3042" w:type="dxa"/>
            <w:gridSpan w:val="3"/>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highlight w:val="none"/>
              </w:rPr>
            </w:pPr>
          </w:p>
        </w:tc>
        <w:tc>
          <w:tcPr>
            <w:tcW w:w="1014" w:type="dxa"/>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highlight w:val="none"/>
              </w:rPr>
            </w:pPr>
          </w:p>
        </w:tc>
        <w:tc>
          <w:tcPr>
            <w:tcW w:w="1014" w:type="dxa"/>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highlight w:val="none"/>
              </w:rPr>
            </w:pPr>
          </w:p>
        </w:tc>
        <w:tc>
          <w:tcPr>
            <w:tcW w:w="9524" w:type="dxa"/>
            <w:gridSpan w:val="10"/>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default" w:ascii="黑体" w:hAnsi="黑体" w:eastAsia="黑体"/>
                <w:bCs/>
                <w:szCs w:val="21"/>
                <w:highlight w:val="none"/>
                <w:lang w:val="en-US" w:eastAsia="zh-CN"/>
              </w:rPr>
            </w:pPr>
            <w:r>
              <w:rPr>
                <w:rFonts w:hint="eastAsia" w:ascii="黑体" w:hAnsi="黑体" w:eastAsia="黑体"/>
                <w:bCs/>
                <w:szCs w:val="21"/>
                <w:highlight w:val="none"/>
              </w:rPr>
              <w:t>公开表</w:t>
            </w:r>
            <w:r>
              <w:rPr>
                <w:rFonts w:hint="eastAsia" w:ascii="黑体" w:hAnsi="黑体" w:eastAsia="黑体"/>
                <w:bCs/>
                <w:szCs w:val="21"/>
                <w:highlight w:val="none"/>
                <w:lang w:val="en-US" w:eastAsia="zh-CN"/>
              </w:rPr>
              <w:t>10</w:t>
            </w:r>
          </w:p>
        </w:tc>
      </w:tr>
      <w:tr>
        <w:tblPrEx>
          <w:tblCellMar>
            <w:top w:w="0" w:type="dxa"/>
            <w:left w:w="0" w:type="dxa"/>
            <w:bottom w:w="0" w:type="dxa"/>
            <w:right w:w="0" w:type="dxa"/>
          </w:tblCellMar>
        </w:tblPrEx>
        <w:trPr>
          <w:trHeight w:val="645" w:hRule="atLeast"/>
        </w:trPr>
        <w:tc>
          <w:tcPr>
            <w:tcW w:w="14594" w:type="dxa"/>
            <w:gridSpan w:val="15"/>
            <w:tcBorders>
              <w:top w:val="nil"/>
              <w:left w:val="nil"/>
              <w:bottom w:val="nil"/>
              <w:right w:val="nil"/>
            </w:tcBorders>
            <w:shd w:val="clear" w:color="auto" w:fill="FFFFFF"/>
            <w:noWrap/>
            <w:tcMar>
              <w:top w:w="15" w:type="dxa"/>
              <w:left w:w="15" w:type="dxa"/>
              <w:bottom w:w="0" w:type="dxa"/>
              <w:right w:w="15" w:type="dxa"/>
            </w:tcMar>
            <w:vAlign w:val="center"/>
          </w:tcPr>
          <w:p>
            <w:pPr>
              <w:widowControl/>
              <w:jc w:val="center"/>
              <w:textAlignment w:val="center"/>
              <w:rPr>
                <w:rFonts w:cs="Arial"/>
                <w:b/>
                <w:bCs/>
                <w:color w:val="000000"/>
                <w:sz w:val="36"/>
                <w:szCs w:val="36"/>
                <w:highlight w:val="none"/>
              </w:rPr>
            </w:pPr>
            <w:r>
              <w:rPr>
                <w:rFonts w:hint="eastAsia" w:ascii="黑体" w:hAnsi="黑体" w:eastAsia="黑体"/>
                <w:bCs/>
                <w:sz w:val="28"/>
                <w:szCs w:val="28"/>
                <w:highlight w:val="none"/>
              </w:rPr>
              <w:t>基本支出预算情况表</w:t>
            </w:r>
          </w:p>
        </w:tc>
      </w:tr>
      <w:tr>
        <w:tblPrEx>
          <w:tblCellMar>
            <w:top w:w="0" w:type="dxa"/>
            <w:left w:w="0" w:type="dxa"/>
            <w:bottom w:w="0" w:type="dxa"/>
            <w:right w:w="0" w:type="dxa"/>
          </w:tblCellMar>
        </w:tblPrEx>
        <w:trPr>
          <w:trHeight w:val="420" w:hRule="atLeast"/>
        </w:trPr>
        <w:tc>
          <w:tcPr>
            <w:tcW w:w="3042" w:type="dxa"/>
            <w:gridSpan w:val="3"/>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highlight w:val="none"/>
              </w:rPr>
            </w:pPr>
          </w:p>
        </w:tc>
        <w:tc>
          <w:tcPr>
            <w:tcW w:w="1014" w:type="dxa"/>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highlight w:val="none"/>
              </w:rPr>
            </w:pPr>
          </w:p>
        </w:tc>
        <w:tc>
          <w:tcPr>
            <w:tcW w:w="1014" w:type="dxa"/>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highlight w:val="none"/>
              </w:rPr>
            </w:pPr>
          </w:p>
        </w:tc>
        <w:tc>
          <w:tcPr>
            <w:tcW w:w="9524" w:type="dxa"/>
            <w:gridSpan w:val="10"/>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420" w:hRule="atLeast"/>
        </w:trPr>
        <w:tc>
          <w:tcPr>
            <w:tcW w:w="2028" w:type="dxa"/>
            <w:gridSpan w:val="2"/>
            <w:vMerge w:val="restart"/>
            <w:tcBorders>
              <w:top w:val="single" w:color="000000" w:sz="4" w:space="0"/>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科目编码</w:t>
            </w:r>
          </w:p>
        </w:tc>
        <w:tc>
          <w:tcPr>
            <w:tcW w:w="1014" w:type="dxa"/>
            <w:vMerge w:val="restart"/>
            <w:tcBorders>
              <w:top w:val="single" w:color="000000" w:sz="4" w:space="0"/>
              <w:left w:val="single" w:color="000000" w:sz="4" w:space="0"/>
              <w:right w:val="single" w:color="000000" w:sz="4" w:space="0"/>
            </w:tcBorders>
            <w:shd w:val="clear" w:color="auto" w:fill="FFFFFF"/>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部门预算</w:t>
            </w:r>
          </w:p>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支出经济</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分类科目</w:t>
            </w:r>
          </w:p>
        </w:tc>
        <w:tc>
          <w:tcPr>
            <w:tcW w:w="2028" w:type="dxa"/>
            <w:gridSpan w:val="2"/>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kern w:val="2"/>
                <w:sz w:val="18"/>
                <w:szCs w:val="18"/>
                <w:highlight w:val="none"/>
                <w:lang w:val="en-US" w:eastAsia="zh-CN" w:bidi="ar-SA"/>
              </w:rPr>
            </w:pPr>
            <w:r>
              <w:rPr>
                <w:rFonts w:hint="eastAsia" w:ascii="黑体" w:hAnsi="黑体" w:eastAsia="黑体" w:cs="Arial"/>
                <w:color w:val="000000"/>
                <w:sz w:val="18"/>
                <w:szCs w:val="18"/>
                <w:highlight w:val="none"/>
              </w:rPr>
              <w:t>科目编码</w:t>
            </w:r>
          </w:p>
          <w:p>
            <w:pPr>
              <w:jc w:val="center"/>
              <w:rPr>
                <w:rFonts w:hint="eastAsia" w:ascii="黑体" w:hAnsi="黑体" w:eastAsia="黑体" w:cs="Arial"/>
                <w:color w:val="000000"/>
                <w:sz w:val="18"/>
                <w:szCs w:val="18"/>
                <w:highlight w:val="none"/>
              </w:rPr>
            </w:pPr>
          </w:p>
        </w:tc>
        <w:tc>
          <w:tcPr>
            <w:tcW w:w="1014" w:type="dxa"/>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lang w:val="en-US" w:eastAsia="zh-CN"/>
              </w:rPr>
              <w:t>政府</w:t>
            </w:r>
            <w:r>
              <w:rPr>
                <w:rFonts w:hint="eastAsia" w:ascii="黑体" w:hAnsi="黑体" w:eastAsia="黑体" w:cs="Arial"/>
                <w:color w:val="000000"/>
                <w:sz w:val="18"/>
                <w:szCs w:val="18"/>
                <w:highlight w:val="none"/>
              </w:rPr>
              <w:t>预算</w:t>
            </w:r>
          </w:p>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支出经济</w:t>
            </w:r>
          </w:p>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分类科目</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合计</w:t>
            </w:r>
          </w:p>
        </w:tc>
        <w:tc>
          <w:tcPr>
            <w:tcW w:w="3781"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财政拨款</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财政专户</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管理资金</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单位资金</w:t>
            </w:r>
          </w:p>
        </w:tc>
        <w:tc>
          <w:tcPr>
            <w:tcW w:w="946"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使用非财政拨款结余</w:t>
            </w:r>
          </w:p>
        </w:tc>
        <w:tc>
          <w:tcPr>
            <w:tcW w:w="946" w:type="dxa"/>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上年结转</w:t>
            </w:r>
          </w:p>
        </w:tc>
      </w:tr>
      <w:tr>
        <w:tblPrEx>
          <w:tblCellMar>
            <w:top w:w="0" w:type="dxa"/>
            <w:left w:w="0" w:type="dxa"/>
            <w:bottom w:w="0" w:type="dxa"/>
            <w:right w:w="0" w:type="dxa"/>
          </w:tblCellMar>
        </w:tblPrEx>
        <w:trPr>
          <w:trHeight w:val="312" w:hRule="atLeast"/>
        </w:trPr>
        <w:tc>
          <w:tcPr>
            <w:tcW w:w="2028" w:type="dxa"/>
            <w:gridSpan w:val="2"/>
            <w:vMerge w:val="continue"/>
            <w:tcBorders>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p>
        </w:tc>
        <w:tc>
          <w:tcPr>
            <w:tcW w:w="1014" w:type="dxa"/>
            <w:vMerge w:val="continue"/>
            <w:tcBorders>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p>
        </w:tc>
        <w:tc>
          <w:tcPr>
            <w:tcW w:w="2028" w:type="dxa"/>
            <w:gridSpan w:val="2"/>
            <w:vMerge w:val="continue"/>
            <w:tcBorders>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highlight w:val="none"/>
                <w:lang w:val="en-US" w:eastAsia="zh-CN" w:bidi="ar-SA"/>
              </w:rPr>
            </w:pPr>
          </w:p>
        </w:tc>
        <w:tc>
          <w:tcPr>
            <w:tcW w:w="1014" w:type="dxa"/>
            <w:vMerge w:val="continue"/>
            <w:tcBorders>
              <w:left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小计</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一般公共</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预算</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政府性</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基金预算</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国有资本</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经营预算</w:t>
            </w: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p>
        </w:tc>
      </w:tr>
      <w:tr>
        <w:tblPrEx>
          <w:tblCellMar>
            <w:top w:w="0" w:type="dxa"/>
            <w:left w:w="0" w:type="dxa"/>
            <w:bottom w:w="0" w:type="dxa"/>
            <w:right w:w="0" w:type="dxa"/>
          </w:tblCellMar>
        </w:tblPrEx>
        <w:trPr>
          <w:trHeight w:val="610" w:hRule="atLeast"/>
        </w:trPr>
        <w:tc>
          <w:tcPr>
            <w:tcW w:w="1014"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类</w:t>
            </w:r>
          </w:p>
        </w:tc>
        <w:tc>
          <w:tcPr>
            <w:tcW w:w="1014"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款</w:t>
            </w:r>
          </w:p>
        </w:tc>
        <w:tc>
          <w:tcPr>
            <w:tcW w:w="1014" w:type="dxa"/>
            <w:vMerge w:val="continue"/>
            <w:tcBorders>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highlight w:val="none"/>
                <w:lang w:val="en-US" w:eastAsia="zh-CN" w:bidi="ar-SA"/>
              </w:rPr>
            </w:pPr>
            <w:r>
              <w:rPr>
                <w:rFonts w:hint="eastAsia" w:ascii="黑体" w:hAnsi="黑体" w:eastAsia="黑体" w:cs="Arial"/>
                <w:color w:val="000000"/>
                <w:sz w:val="18"/>
                <w:szCs w:val="18"/>
                <w:highlight w:val="none"/>
              </w:rPr>
              <w:t>类</w:t>
            </w:r>
          </w:p>
        </w:tc>
        <w:tc>
          <w:tcPr>
            <w:tcW w:w="1014"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highlight w:val="none"/>
                <w:lang w:val="en-US" w:eastAsia="zh-CN" w:bidi="ar-SA"/>
              </w:rPr>
            </w:pPr>
            <w:r>
              <w:rPr>
                <w:rFonts w:hint="eastAsia" w:ascii="黑体" w:hAnsi="黑体" w:eastAsia="黑体" w:cs="Arial"/>
                <w:color w:val="000000"/>
                <w:sz w:val="18"/>
                <w:szCs w:val="18"/>
                <w:highlight w:val="none"/>
              </w:rPr>
              <w:t>类</w:t>
            </w:r>
          </w:p>
        </w:tc>
        <w:tc>
          <w:tcPr>
            <w:tcW w:w="1014"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款</w:t>
            </w:r>
          </w:p>
        </w:tc>
        <w:tc>
          <w:tcPr>
            <w:tcW w:w="1014"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20"/>
                <w:szCs w:val="20"/>
                <w:highlight w:val="none"/>
              </w:rPr>
            </w:pPr>
          </w:p>
        </w:tc>
      </w:tr>
      <w:tr>
        <w:tblPrEx>
          <w:tblCellMar>
            <w:top w:w="0" w:type="dxa"/>
            <w:left w:w="0" w:type="dxa"/>
            <w:bottom w:w="0" w:type="dxa"/>
            <w:right w:w="0" w:type="dxa"/>
          </w:tblCellMar>
        </w:tblPrEx>
        <w:trPr>
          <w:trHeight w:val="480" w:hRule="atLeast"/>
        </w:trPr>
        <w:tc>
          <w:tcPr>
            <w:tcW w:w="30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eastAsia="仿宋_GB2312" w:cs="Arial"/>
                <w:color w:val="000000"/>
                <w:sz w:val="18"/>
                <w:szCs w:val="18"/>
                <w:highlight w:val="none"/>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highlight w:val="none"/>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highlight w:val="none"/>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highlight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default"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670.52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hint="default" w:ascii="仿宋_GB2312" w:eastAsia="仿宋_GB2312"/>
                <w:sz w:val="20"/>
                <w:szCs w:val="20"/>
                <w:highlight w:val="none"/>
                <w:lang w:val="en-US" w:eastAsia="zh-CN"/>
              </w:rPr>
            </w:pPr>
            <w:r>
              <w:rPr>
                <w:rFonts w:hint="eastAsia" w:ascii="仿宋_GB2312" w:eastAsia="仿宋_GB2312"/>
                <w:sz w:val="20"/>
                <w:szCs w:val="20"/>
                <w:highlight w:val="none"/>
                <w:lang w:val="en-US" w:eastAsia="zh-CN"/>
              </w:rPr>
              <w:t>670.52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hint="default" w:ascii="仿宋_GB2312" w:eastAsia="仿宋_GB2312"/>
                <w:sz w:val="20"/>
                <w:szCs w:val="20"/>
                <w:highlight w:val="none"/>
                <w:lang w:val="en-US" w:eastAsia="zh-CN"/>
              </w:rPr>
            </w:pPr>
            <w:r>
              <w:rPr>
                <w:rFonts w:hint="eastAsia" w:ascii="仿宋_GB2312" w:eastAsia="仿宋_GB2312"/>
                <w:sz w:val="20"/>
                <w:szCs w:val="20"/>
                <w:highlight w:val="none"/>
                <w:lang w:val="en-US" w:eastAsia="zh-CN"/>
              </w:rPr>
              <w:t>670.52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工资福利支出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机关工资福利支出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576.06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576.06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576.06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基本工资</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134.37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134.37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134.37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津贴补贴</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150.48</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150.48</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150.48</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奖金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140.76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140.76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140.76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08</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机关事业单位基本养老保险缴费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59.84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59.84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59.84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职工基本医疗保险缴费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30.67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30.67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30.67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公务员医疗补助缴费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7.55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7.55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7.55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其他社会保障缴费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住房公积金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住房公积金</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51.09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51.09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51.09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商品和服务支出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机关商品和服务支出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92.42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92.42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92.42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25.50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25.50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25.50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印刷费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07</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邮电费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差旅费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维修（护）费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维修（护）费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会议费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会议费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16</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培训费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培训费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17</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公务接待费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06</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公务接待费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39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其他交通费用</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22.42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22.42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22.42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99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其他商品和服务支出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99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对个人和家庭的补助</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对个人和家庭的补助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生活补助</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社会福利和救助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奖励金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社会福利和救助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0.02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0.02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0.02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bl>
    <w:p>
      <w:pPr>
        <w:widowControl/>
        <w:jc w:val="left"/>
        <w:rPr>
          <w:rFonts w:ascii="仿宋_GB2312" w:eastAsia="仿宋_GB2312"/>
          <w:b/>
          <w:sz w:val="30"/>
          <w:szCs w:val="30"/>
          <w:highlight w:val="none"/>
        </w:rPr>
      </w:pPr>
      <w:r>
        <w:rPr>
          <w:rFonts w:ascii="仿宋_GB2312" w:eastAsia="仿宋_GB2312"/>
          <w:b/>
          <w:sz w:val="30"/>
          <w:szCs w:val="30"/>
          <w:highlight w:val="none"/>
        </w:rPr>
        <w:t xml:space="preserve"> </w:t>
      </w:r>
      <w:r>
        <w:rPr>
          <w:rFonts w:ascii="仿宋_GB2312" w:eastAsia="仿宋_GB2312"/>
          <w:b/>
          <w:sz w:val="30"/>
          <w:szCs w:val="30"/>
          <w:highlight w:val="none"/>
        </w:rPr>
        <w:br w:type="page"/>
      </w:r>
    </w:p>
    <w:tbl>
      <w:tblPr>
        <w:tblStyle w:val="8"/>
        <w:tblW w:w="14590" w:type="dxa"/>
        <w:tblInd w:w="0" w:type="dxa"/>
        <w:tblLayout w:type="fixed"/>
        <w:tblCellMar>
          <w:top w:w="0" w:type="dxa"/>
          <w:left w:w="0" w:type="dxa"/>
          <w:bottom w:w="0" w:type="dxa"/>
          <w:right w:w="0" w:type="dxa"/>
        </w:tblCellMar>
      </w:tblPr>
      <w:tblGrid>
        <w:gridCol w:w="4639"/>
        <w:gridCol w:w="1561"/>
        <w:gridCol w:w="932"/>
        <w:gridCol w:w="932"/>
        <w:gridCol w:w="932"/>
        <w:gridCol w:w="932"/>
        <w:gridCol w:w="932"/>
        <w:gridCol w:w="932"/>
        <w:gridCol w:w="932"/>
        <w:gridCol w:w="933"/>
        <w:gridCol w:w="933"/>
      </w:tblGrid>
      <w:tr>
        <w:tblPrEx>
          <w:tblCellMar>
            <w:top w:w="0" w:type="dxa"/>
            <w:left w:w="0" w:type="dxa"/>
            <w:bottom w:w="0" w:type="dxa"/>
            <w:right w:w="0" w:type="dxa"/>
          </w:tblCellMar>
        </w:tblPrEx>
        <w:trPr>
          <w:trHeight w:val="340" w:hRule="atLeast"/>
          <w:tblHeader/>
        </w:trPr>
        <w:tc>
          <w:tcPr>
            <w:tcW w:w="14590" w:type="dxa"/>
            <w:gridSpan w:val="11"/>
            <w:tcBorders>
              <w:top w:val="nil"/>
              <w:left w:val="nil"/>
              <w:bottom w:val="nil"/>
              <w:right w:val="nil"/>
            </w:tcBorders>
            <w:shd w:val="clear" w:color="000000" w:fill="FFFFFF"/>
            <w:noWrap/>
            <w:tcMar>
              <w:top w:w="10" w:type="dxa"/>
              <w:left w:w="10" w:type="dxa"/>
              <w:right w:w="10" w:type="dxa"/>
            </w:tcMar>
            <w:vAlign w:val="center"/>
          </w:tcPr>
          <w:p>
            <w:pPr>
              <w:jc w:val="right"/>
              <w:rPr>
                <w:rFonts w:hint="default" w:ascii="宋体" w:hAnsi="宋体" w:eastAsia="黑体" w:cs="宋体"/>
                <w:color w:val="000000"/>
                <w:sz w:val="18"/>
                <w:szCs w:val="18"/>
                <w:highlight w:val="none"/>
                <w:lang w:val="en-US" w:eastAsia="zh-CN"/>
              </w:rPr>
            </w:pPr>
            <w:r>
              <w:rPr>
                <w:rFonts w:hint="eastAsia" w:ascii="黑体" w:hAnsi="黑体" w:eastAsia="黑体"/>
                <w:bCs/>
                <w:szCs w:val="21"/>
                <w:highlight w:val="none"/>
              </w:rPr>
              <w:t>公开表</w:t>
            </w:r>
            <w:r>
              <w:rPr>
                <w:rFonts w:hint="eastAsia" w:ascii="黑体" w:hAnsi="黑体" w:eastAsia="黑体"/>
                <w:bCs/>
                <w:szCs w:val="21"/>
                <w:highlight w:val="none"/>
                <w:lang w:val="en-US" w:eastAsia="zh-CN"/>
              </w:rPr>
              <w:t>11</w:t>
            </w:r>
          </w:p>
        </w:tc>
      </w:tr>
      <w:tr>
        <w:tblPrEx>
          <w:tblCellMar>
            <w:top w:w="0" w:type="dxa"/>
            <w:left w:w="0" w:type="dxa"/>
            <w:bottom w:w="0" w:type="dxa"/>
            <w:right w:w="0" w:type="dxa"/>
          </w:tblCellMar>
        </w:tblPrEx>
        <w:trPr>
          <w:trHeight w:val="645" w:hRule="atLeast"/>
          <w:tblHeader/>
        </w:trPr>
        <w:tc>
          <w:tcPr>
            <w:tcW w:w="14590" w:type="dxa"/>
            <w:gridSpan w:val="11"/>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highlight w:val="none"/>
              </w:rPr>
            </w:pPr>
            <w:r>
              <w:rPr>
                <w:rFonts w:hint="eastAsia" w:ascii="黑体" w:hAnsi="黑体" w:eastAsia="黑体"/>
                <w:bCs/>
                <w:sz w:val="28"/>
                <w:szCs w:val="28"/>
                <w:highlight w:val="none"/>
              </w:rPr>
              <w:t>项目支出预算</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tc>
      </w:tr>
      <w:tr>
        <w:tblPrEx>
          <w:tblCellMar>
            <w:top w:w="0" w:type="dxa"/>
            <w:left w:w="0" w:type="dxa"/>
            <w:bottom w:w="0" w:type="dxa"/>
            <w:right w:w="0" w:type="dxa"/>
          </w:tblCellMar>
        </w:tblPrEx>
        <w:trPr>
          <w:trHeight w:val="340" w:hRule="atLeast"/>
          <w:tblHeader/>
        </w:trPr>
        <w:tc>
          <w:tcPr>
            <w:tcW w:w="14590" w:type="dxa"/>
            <w:gridSpan w:val="11"/>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340" w:hRule="atLeast"/>
          <w:tblHeader/>
        </w:trPr>
        <w:tc>
          <w:tcPr>
            <w:tcW w:w="4639"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项目名称</w:t>
            </w:r>
          </w:p>
        </w:tc>
        <w:tc>
          <w:tcPr>
            <w:tcW w:w="1561"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项目类型</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3728"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财政拨款</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财政专户</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管理资金</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单位资金</w:t>
            </w:r>
          </w:p>
        </w:tc>
        <w:tc>
          <w:tcPr>
            <w:tcW w:w="933"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使用非财政拨款结余</w:t>
            </w:r>
          </w:p>
        </w:tc>
        <w:tc>
          <w:tcPr>
            <w:tcW w:w="933" w:type="dxa"/>
            <w:vMerge w:val="restart"/>
            <w:tcBorders>
              <w:top w:val="single" w:color="auto" w:sz="4" w:space="0"/>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上年结转</w:t>
            </w:r>
          </w:p>
        </w:tc>
      </w:tr>
      <w:tr>
        <w:tblPrEx>
          <w:tblCellMar>
            <w:top w:w="0" w:type="dxa"/>
            <w:left w:w="0" w:type="dxa"/>
            <w:bottom w:w="0" w:type="dxa"/>
            <w:right w:w="0" w:type="dxa"/>
          </w:tblCellMar>
        </w:tblPrEx>
        <w:trPr>
          <w:trHeight w:val="340" w:hRule="atLeast"/>
          <w:tblHeader/>
        </w:trPr>
        <w:tc>
          <w:tcPr>
            <w:tcW w:w="4639"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561"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一般公共</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预算</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政府性</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基金预算</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国有资本</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经营预算</w:t>
            </w: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3" w:type="dxa"/>
            <w:vMerge w:val="continue"/>
            <w:tcBorders>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color w:val="000000"/>
                <w:sz w:val="18"/>
                <w:szCs w:val="18"/>
                <w:highlight w:val="none"/>
              </w:rPr>
              <w:t xml:space="preserve">合 </w:t>
            </w:r>
            <w:r>
              <w:rPr>
                <w:rFonts w:ascii="仿宋_GB2312" w:hAnsi="仿宋_GB2312" w:eastAsia="仿宋_GB2312" w:cs="仿宋_GB2312"/>
                <w:b/>
                <w:color w:val="000000"/>
                <w:sz w:val="18"/>
                <w:szCs w:val="18"/>
                <w:highlight w:val="none"/>
              </w:rPr>
              <w:t xml:space="preserve">   </w:t>
            </w:r>
            <w:r>
              <w:rPr>
                <w:rFonts w:hint="eastAsia" w:ascii="仿宋_GB2312" w:hAnsi="仿宋_GB2312" w:eastAsia="仿宋_GB2312" w:cs="仿宋_GB2312"/>
                <w:b/>
                <w:color w:val="000000"/>
                <w:sz w:val="18"/>
                <w:szCs w:val="18"/>
                <w:highlight w:val="none"/>
              </w:rPr>
              <w:t>计</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color w:val="000000"/>
                <w:sz w:val="18"/>
                <w:szCs w:val="18"/>
                <w:highlight w:val="none"/>
                <w:lang w:val="en-US" w:eastAsia="zh-CN"/>
              </w:rPr>
            </w:pPr>
            <w:r>
              <w:rPr>
                <w:rFonts w:hint="eastAsia" w:ascii="仿宋_GB2312" w:hAnsi="仿宋_GB2312" w:eastAsia="仿宋_GB2312" w:cs="仿宋_GB2312"/>
                <w:b/>
                <w:color w:val="000000"/>
                <w:sz w:val="18"/>
                <w:szCs w:val="18"/>
                <w:highlight w:val="none"/>
                <w:lang w:val="en-US" w:eastAsia="zh-CN"/>
              </w:rPr>
              <w:t>52.00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color w:val="000000"/>
                <w:sz w:val="18"/>
                <w:szCs w:val="18"/>
                <w:highlight w:val="none"/>
                <w:lang w:val="en-US" w:eastAsia="zh-CN"/>
              </w:rPr>
            </w:pPr>
            <w:r>
              <w:rPr>
                <w:rFonts w:hint="eastAsia" w:ascii="仿宋_GB2312" w:hAnsi="仿宋_GB2312" w:eastAsia="仿宋_GB2312" w:cs="仿宋_GB2312"/>
                <w:b/>
                <w:color w:val="000000"/>
                <w:sz w:val="18"/>
                <w:szCs w:val="18"/>
                <w:highlight w:val="none"/>
                <w:lang w:val="en-US" w:eastAsia="zh-CN"/>
              </w:rPr>
              <w:t>52.00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color w:val="000000"/>
                <w:sz w:val="18"/>
                <w:szCs w:val="18"/>
                <w:highlight w:val="none"/>
                <w:lang w:val="en-US" w:eastAsia="zh-CN"/>
              </w:rPr>
            </w:pPr>
            <w:r>
              <w:rPr>
                <w:rFonts w:hint="eastAsia" w:ascii="仿宋_GB2312" w:hAnsi="仿宋_GB2312" w:eastAsia="仿宋_GB2312" w:cs="仿宋_GB2312"/>
                <w:b/>
                <w:color w:val="000000"/>
                <w:sz w:val="18"/>
                <w:szCs w:val="18"/>
                <w:highlight w:val="none"/>
                <w:lang w:val="en-US" w:eastAsia="zh-CN"/>
              </w:rPr>
              <w:t>52.00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val="0"/>
                <w:bCs/>
                <w:color w:val="000000"/>
                <w:sz w:val="18"/>
                <w:szCs w:val="18"/>
                <w:highlight w:val="none"/>
                <w:lang w:eastAsia="zh-CN"/>
              </w:rPr>
              <w:t>调研经费</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val="0"/>
                <w:bCs/>
                <w:color w:val="000000"/>
                <w:sz w:val="18"/>
                <w:szCs w:val="18"/>
                <w:highlight w:val="none"/>
                <w:lang w:eastAsia="zh-CN"/>
              </w:rPr>
              <w:t>其他运转类</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val="0"/>
                <w:bCs/>
                <w:color w:val="000000"/>
                <w:sz w:val="18"/>
                <w:szCs w:val="18"/>
                <w:highlight w:val="none"/>
                <w:lang w:val="en-US" w:eastAsia="zh-CN"/>
              </w:rPr>
              <w:t>52.00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val="0"/>
                <w:bCs/>
                <w:color w:val="000000"/>
                <w:sz w:val="18"/>
                <w:szCs w:val="18"/>
                <w:highlight w:val="none"/>
                <w:lang w:val="en-US" w:eastAsia="zh-CN"/>
              </w:rPr>
              <w:t>52.00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val="0"/>
                <w:bCs/>
                <w:color w:val="000000"/>
                <w:sz w:val="18"/>
                <w:szCs w:val="18"/>
                <w:highlight w:val="none"/>
                <w:lang w:val="en-US" w:eastAsia="zh-CN"/>
              </w:rPr>
              <w:t>52.00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b/>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bl>
    <w:p>
      <w:pPr>
        <w:jc w:val="left"/>
        <w:rPr>
          <w:rFonts w:hint="eastAsia" w:ascii="仿宋_GB2312" w:eastAsia="仿宋_GB2312"/>
          <w:b/>
          <w:szCs w:val="21"/>
          <w:highlight w:val="none"/>
        </w:rPr>
      </w:pPr>
      <w:r>
        <w:rPr>
          <w:rFonts w:hint="eastAsia" w:ascii="仿宋_GB2312" w:eastAsia="仿宋_GB2312"/>
          <w:b/>
          <w:szCs w:val="21"/>
          <w:highlight w:val="none"/>
        </w:rPr>
        <w:t>（注：根据国家保密法律法规和有关保密事项范围的规定，部分具体项目信息公开时予以剔除。）</w:t>
      </w: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tbl>
      <w:tblPr>
        <w:tblStyle w:val="8"/>
        <w:tblW w:w="14590" w:type="dxa"/>
        <w:tblInd w:w="0" w:type="dxa"/>
        <w:tblLayout w:type="fixed"/>
        <w:tblCellMar>
          <w:top w:w="0" w:type="dxa"/>
          <w:left w:w="0" w:type="dxa"/>
          <w:bottom w:w="0" w:type="dxa"/>
          <w:right w:w="0" w:type="dxa"/>
        </w:tblCellMar>
      </w:tblPr>
      <w:tblGrid>
        <w:gridCol w:w="811"/>
        <w:gridCol w:w="811"/>
        <w:gridCol w:w="847"/>
        <w:gridCol w:w="1533"/>
        <w:gridCol w:w="1176"/>
        <w:gridCol w:w="1176"/>
        <w:gridCol w:w="1176"/>
        <w:gridCol w:w="1176"/>
        <w:gridCol w:w="1176"/>
        <w:gridCol w:w="1177"/>
        <w:gridCol w:w="1177"/>
        <w:gridCol w:w="1177"/>
        <w:gridCol w:w="1177"/>
      </w:tblGrid>
      <w:tr>
        <w:tblPrEx>
          <w:tblCellMar>
            <w:top w:w="0" w:type="dxa"/>
            <w:left w:w="0" w:type="dxa"/>
            <w:bottom w:w="0" w:type="dxa"/>
            <w:right w:w="0" w:type="dxa"/>
          </w:tblCellMar>
        </w:tblPrEx>
        <w:trPr>
          <w:trHeight w:val="480" w:hRule="atLeast"/>
        </w:trPr>
        <w:tc>
          <w:tcPr>
            <w:tcW w:w="14590" w:type="dxa"/>
            <w:gridSpan w:val="13"/>
            <w:tcBorders>
              <w:top w:val="nil"/>
              <w:left w:val="nil"/>
              <w:bottom w:val="nil"/>
              <w:right w:val="nil"/>
            </w:tcBorders>
            <w:shd w:val="clear" w:color="000000" w:fill="FFFFFF"/>
            <w:noWrap/>
            <w:tcMar>
              <w:top w:w="10" w:type="dxa"/>
              <w:left w:w="10" w:type="dxa"/>
              <w:right w:w="10" w:type="dxa"/>
            </w:tcMar>
            <w:vAlign w:val="center"/>
          </w:tcPr>
          <w:p>
            <w:pPr>
              <w:jc w:val="right"/>
              <w:rPr>
                <w:rFonts w:hint="eastAsia" w:ascii="宋体" w:hAnsi="宋体" w:eastAsia="黑体" w:cs="宋体"/>
                <w:color w:val="000000"/>
                <w:sz w:val="18"/>
                <w:szCs w:val="18"/>
                <w:highlight w:val="none"/>
                <w:lang w:eastAsia="zh-CN"/>
              </w:rPr>
            </w:pPr>
            <w:bookmarkStart w:id="2" w:name="_Hlk95413875"/>
            <w:r>
              <w:rPr>
                <w:rFonts w:hint="eastAsia" w:ascii="黑体" w:hAnsi="黑体" w:eastAsia="黑体"/>
                <w:bCs/>
                <w:szCs w:val="21"/>
                <w:highlight w:val="none"/>
              </w:rPr>
              <w:t>公开表</w:t>
            </w:r>
            <w:r>
              <w:rPr>
                <w:rFonts w:ascii="黑体" w:hAnsi="黑体" w:eastAsia="黑体"/>
                <w:bCs/>
                <w:szCs w:val="21"/>
                <w:highlight w:val="none"/>
              </w:rPr>
              <w:t>1</w:t>
            </w:r>
            <w:r>
              <w:rPr>
                <w:rFonts w:hint="eastAsia" w:ascii="黑体" w:hAnsi="黑体" w:eastAsia="黑体"/>
                <w:bCs/>
                <w:szCs w:val="21"/>
                <w:highlight w:val="none"/>
                <w:lang w:val="en-US" w:eastAsia="zh-CN"/>
              </w:rPr>
              <w:t>2</w:t>
            </w:r>
          </w:p>
        </w:tc>
      </w:tr>
      <w:tr>
        <w:tblPrEx>
          <w:tblCellMar>
            <w:top w:w="0" w:type="dxa"/>
            <w:left w:w="0" w:type="dxa"/>
            <w:bottom w:w="0" w:type="dxa"/>
            <w:right w:w="0" w:type="dxa"/>
          </w:tblCellMar>
        </w:tblPrEx>
        <w:trPr>
          <w:trHeight w:val="510" w:hRule="atLeast"/>
        </w:trPr>
        <w:tc>
          <w:tcPr>
            <w:tcW w:w="14590" w:type="dxa"/>
            <w:gridSpan w:val="13"/>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highlight w:val="none"/>
              </w:rPr>
            </w:pPr>
            <w:r>
              <w:rPr>
                <w:rFonts w:hint="eastAsia" w:ascii="黑体" w:hAnsi="黑体" w:eastAsia="黑体"/>
                <w:bCs/>
                <w:sz w:val="28"/>
                <w:szCs w:val="28"/>
                <w:highlight w:val="none"/>
              </w:rPr>
              <w:t>政府采购预算表</w:t>
            </w:r>
          </w:p>
        </w:tc>
      </w:tr>
      <w:tr>
        <w:tblPrEx>
          <w:tblCellMar>
            <w:top w:w="0" w:type="dxa"/>
            <w:left w:w="0" w:type="dxa"/>
            <w:bottom w:w="0" w:type="dxa"/>
            <w:right w:w="0" w:type="dxa"/>
          </w:tblCellMar>
        </w:tblPrEx>
        <w:trPr>
          <w:trHeight w:val="525" w:hRule="atLeast"/>
        </w:trPr>
        <w:tc>
          <w:tcPr>
            <w:tcW w:w="14590" w:type="dxa"/>
            <w:gridSpan w:val="13"/>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sz w:val="18"/>
                <w:szCs w:val="18"/>
                <w:highlight w:val="none"/>
              </w:rPr>
            </w:pPr>
            <w:r>
              <w:rPr>
                <w:rFonts w:hint="eastAsia" w:ascii="宋体" w:hAnsi="宋体" w:cs="宋体"/>
                <w:color w:val="000000"/>
                <w:kern w:val="0"/>
                <w:sz w:val="18"/>
                <w:szCs w:val="18"/>
                <w:highlight w:val="none"/>
                <w:lang w:bidi="ar"/>
              </w:rPr>
              <w:t>单位：万元</w:t>
            </w:r>
          </w:p>
        </w:tc>
      </w:tr>
      <w:tr>
        <w:tblPrEx>
          <w:tblCellMar>
            <w:top w:w="0" w:type="dxa"/>
            <w:left w:w="0" w:type="dxa"/>
            <w:bottom w:w="0" w:type="dxa"/>
            <w:right w:w="0" w:type="dxa"/>
          </w:tblCellMar>
        </w:tblPrEx>
        <w:trPr>
          <w:trHeight w:val="398" w:hRule="atLeast"/>
        </w:trPr>
        <w:tc>
          <w:tcPr>
            <w:tcW w:w="2469" w:type="dxa"/>
            <w:gridSpan w:val="3"/>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科目编码</w:t>
            </w:r>
          </w:p>
        </w:tc>
        <w:tc>
          <w:tcPr>
            <w:tcW w:w="1533"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科目名称</w:t>
            </w:r>
          </w:p>
        </w:tc>
        <w:tc>
          <w:tcPr>
            <w:tcW w:w="10588" w:type="dxa"/>
            <w:gridSpan w:val="9"/>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资     金     来     源</w:t>
            </w:r>
          </w:p>
        </w:tc>
      </w:tr>
      <w:tr>
        <w:tblPrEx>
          <w:tblCellMar>
            <w:top w:w="0" w:type="dxa"/>
            <w:left w:w="0" w:type="dxa"/>
            <w:bottom w:w="0" w:type="dxa"/>
            <w:right w:w="0" w:type="dxa"/>
          </w:tblCellMar>
        </w:tblPrEx>
        <w:trPr>
          <w:trHeight w:val="398" w:hRule="atLeast"/>
        </w:trPr>
        <w:tc>
          <w:tcPr>
            <w:tcW w:w="8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类</w:t>
            </w:r>
          </w:p>
        </w:tc>
        <w:tc>
          <w:tcPr>
            <w:tcW w:w="8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款</w:t>
            </w:r>
          </w:p>
        </w:tc>
        <w:tc>
          <w:tcPr>
            <w:tcW w:w="84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项</w:t>
            </w:r>
          </w:p>
        </w:tc>
        <w:tc>
          <w:tcPr>
            <w:tcW w:w="15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6"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4704"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财政拨款</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财政专户</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管理资金</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单位资金</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使用非财</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政拨款结余</w:t>
            </w:r>
          </w:p>
        </w:tc>
        <w:tc>
          <w:tcPr>
            <w:tcW w:w="1177" w:type="dxa"/>
            <w:vMerge w:val="restart"/>
            <w:tcBorders>
              <w:top w:val="single" w:color="auto" w:sz="4" w:space="0"/>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上年结转</w:t>
            </w:r>
          </w:p>
        </w:tc>
      </w:tr>
      <w:tr>
        <w:tblPrEx>
          <w:tblCellMar>
            <w:top w:w="0" w:type="dxa"/>
            <w:left w:w="0" w:type="dxa"/>
            <w:bottom w:w="0" w:type="dxa"/>
            <w:right w:w="0" w:type="dxa"/>
          </w:tblCellMar>
        </w:tblPrEx>
        <w:trPr>
          <w:trHeight w:val="638" w:hRule="atLeast"/>
        </w:trPr>
        <w:tc>
          <w:tcPr>
            <w:tcW w:w="8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8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84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5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6"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一般公共</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预算</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政府性</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基金预算</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国有资本</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经营预算</w:t>
            </w: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7" w:type="dxa"/>
            <w:vMerge w:val="continue"/>
            <w:tcBorders>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bl>
    <w:p>
      <w:pPr>
        <w:jc w:val="left"/>
        <w:rPr>
          <w:rFonts w:ascii="楷体_GB2312" w:eastAsia="楷体_GB2312"/>
          <w:sz w:val="32"/>
          <w:szCs w:val="32"/>
          <w:highlight w:val="none"/>
        </w:rPr>
      </w:pPr>
    </w:p>
    <w:bookmarkEnd w:id="2"/>
    <w:p>
      <w:pPr>
        <w:jc w:val="left"/>
        <w:rPr>
          <w:rFonts w:hint="eastAsia"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2023</w:t>
      </w:r>
      <w:r>
        <w:rPr>
          <w:rFonts w:hint="eastAsia" w:ascii="仿宋_GB2312" w:eastAsia="仿宋_GB2312"/>
          <w:b/>
          <w:szCs w:val="21"/>
          <w:highlight w:val="none"/>
        </w:rPr>
        <w:t>年</w:t>
      </w:r>
      <w:r>
        <w:rPr>
          <w:rFonts w:hint="eastAsia" w:ascii="仿宋_GB2312" w:eastAsia="仿宋_GB2312"/>
          <w:b/>
          <w:szCs w:val="21"/>
          <w:highlight w:val="none"/>
          <w:lang w:val="en-US" w:eastAsia="zh-CN"/>
        </w:rPr>
        <w:t>未安排政府采购预算</w:t>
      </w:r>
      <w:r>
        <w:rPr>
          <w:rFonts w:hint="eastAsia" w:ascii="仿宋_GB2312" w:eastAsia="仿宋_GB2312"/>
          <w:b/>
          <w:szCs w:val="21"/>
          <w:highlight w:val="none"/>
        </w:rPr>
        <w:t>。）</w:t>
      </w:r>
    </w:p>
    <w:p>
      <w:pPr>
        <w:rPr>
          <w:rFonts w:ascii="黑体" w:eastAsia="黑体"/>
          <w:sz w:val="52"/>
          <w:szCs w:val="52"/>
          <w:highlight w:val="none"/>
        </w:rPr>
      </w:pPr>
    </w:p>
    <w:p>
      <w:pPr>
        <w:rPr>
          <w:rFonts w:ascii="黑体" w:eastAsia="黑体"/>
          <w:sz w:val="52"/>
          <w:szCs w:val="52"/>
          <w:highlight w:val="none"/>
        </w:rPr>
        <w:sectPr>
          <w:pgSz w:w="16838" w:h="11906" w:orient="landscape"/>
          <w:pgMar w:top="1701" w:right="1134" w:bottom="1701" w:left="1134" w:header="851" w:footer="992" w:gutter="0"/>
          <w:cols w:space="720" w:num="1"/>
          <w:docGrid w:linePitch="312" w:charSpace="0"/>
        </w:sectPr>
      </w:pPr>
    </w:p>
    <w:p>
      <w:pPr>
        <w:rPr>
          <w:rFonts w:ascii="黑体" w:eastAsia="黑体"/>
          <w:sz w:val="52"/>
          <w:szCs w:val="52"/>
          <w:highlight w:val="none"/>
        </w:rPr>
      </w:pPr>
      <w:r>
        <w:rPr>
          <w:rFonts w:hint="eastAsia" w:ascii="黑体" w:eastAsia="黑体"/>
          <w:sz w:val="52"/>
          <w:szCs w:val="52"/>
          <w:highlight w:val="none"/>
        </w:rPr>
        <w:t>第三部分</w:t>
      </w: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ind w:left="277" w:leftChars="8" w:hanging="260" w:hangingChars="50"/>
        <w:jc w:val="center"/>
        <w:rPr>
          <w:rFonts w:ascii="黑体" w:eastAsia="黑体"/>
          <w:sz w:val="52"/>
          <w:szCs w:val="52"/>
          <w:highlight w:val="none"/>
        </w:rPr>
      </w:pPr>
      <w:r>
        <w:rPr>
          <w:rFonts w:hint="eastAsia" w:ascii="黑体" w:eastAsia="黑体"/>
          <w:sz w:val="52"/>
          <w:szCs w:val="52"/>
          <w:highlight w:val="none"/>
          <w:lang w:eastAsia="zh-CN"/>
        </w:rPr>
        <w:t>2023</w:t>
      </w:r>
      <w:r>
        <w:rPr>
          <w:rFonts w:hint="eastAsia" w:ascii="黑体" w:eastAsia="黑体"/>
          <w:sz w:val="52"/>
          <w:szCs w:val="52"/>
          <w:highlight w:val="none"/>
        </w:rPr>
        <w:t>年</w:t>
      </w:r>
      <w:r>
        <w:rPr>
          <w:rFonts w:hint="eastAsia" w:ascii="黑体" w:eastAsia="黑体"/>
          <w:sz w:val="52"/>
          <w:szCs w:val="52"/>
          <w:highlight w:val="none"/>
          <w:lang w:eastAsia="zh-CN"/>
        </w:rPr>
        <w:t>单位</w:t>
      </w:r>
      <w:r>
        <w:rPr>
          <w:rFonts w:hint="eastAsia" w:ascii="黑体" w:eastAsia="黑体"/>
          <w:sz w:val="52"/>
          <w:szCs w:val="52"/>
          <w:highlight w:val="none"/>
        </w:rPr>
        <w:t>预算情况和</w:t>
      </w:r>
    </w:p>
    <w:p>
      <w:pPr>
        <w:ind w:left="277" w:leftChars="8" w:hanging="260" w:hangingChars="50"/>
        <w:jc w:val="center"/>
        <w:rPr>
          <w:rFonts w:ascii="黑体" w:eastAsia="黑体"/>
          <w:sz w:val="52"/>
          <w:szCs w:val="52"/>
          <w:highlight w:val="none"/>
        </w:rPr>
      </w:pPr>
      <w:r>
        <w:rPr>
          <w:rFonts w:hint="eastAsia" w:ascii="黑体" w:eastAsia="黑体"/>
          <w:sz w:val="52"/>
          <w:szCs w:val="52"/>
          <w:highlight w:val="none"/>
        </w:rPr>
        <w:t>重要事项说明</w:t>
      </w: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rPr>
          <w:rFonts w:ascii="黑体" w:eastAsia="黑体"/>
          <w:sz w:val="32"/>
          <w:szCs w:val="32"/>
          <w:highlight w:val="none"/>
        </w:rPr>
      </w:pPr>
      <w:r>
        <w:rPr>
          <w:rFonts w:ascii="黑体" w:eastAsia="黑体"/>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楷体_GB2312" w:eastAsia="楷体_GB2312"/>
          <w:sz w:val="32"/>
          <w:szCs w:val="32"/>
          <w:highlight w:val="none"/>
        </w:rPr>
      </w:pPr>
      <w:r>
        <w:rPr>
          <w:rFonts w:hint="eastAsia" w:ascii="黑体" w:eastAsia="黑体"/>
          <w:sz w:val="32"/>
          <w:szCs w:val="32"/>
          <w:highlight w:val="none"/>
        </w:rPr>
        <w:t>一、</w:t>
      </w:r>
      <w:r>
        <w:rPr>
          <w:rFonts w:hint="eastAsia" w:ascii="黑体" w:eastAsia="黑体"/>
          <w:sz w:val="32"/>
          <w:szCs w:val="32"/>
          <w:highlight w:val="none"/>
          <w:lang w:val="en-US" w:eastAsia="zh-CN"/>
        </w:rPr>
        <w:t>预算收支增减变化情况</w:t>
      </w:r>
      <w:r>
        <w:rPr>
          <w:rFonts w:hint="eastAsia" w:ascii="黑体" w:eastAsia="黑体"/>
          <w:sz w:val="32"/>
          <w:szCs w:val="32"/>
          <w:highlight w:val="none"/>
        </w:rPr>
        <w:t>说明</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highlight w:val="none"/>
        </w:rPr>
      </w:pPr>
      <w:r>
        <w:rPr>
          <w:rFonts w:hint="eastAsia" w:ascii="仿宋_GB2312" w:eastAsia="仿宋_GB2312"/>
          <w:sz w:val="32"/>
          <w:szCs w:val="32"/>
          <w:highlight w:val="none"/>
        </w:rPr>
        <w:t>按照综合预算的原则，</w:t>
      </w:r>
      <w:r>
        <w:rPr>
          <w:rFonts w:hint="eastAsia" w:ascii="仿宋_GB2312" w:eastAsia="仿宋_GB2312"/>
          <w:sz w:val="32"/>
          <w:szCs w:val="32"/>
          <w:highlight w:val="none"/>
          <w:lang w:val="en-US" w:eastAsia="zh-CN"/>
        </w:rPr>
        <w:t>本</w:t>
      </w:r>
      <w:r>
        <w:rPr>
          <w:rFonts w:hint="eastAsia" w:eastAsia="仿宋_GB2312"/>
          <w:sz w:val="32"/>
          <w:szCs w:val="32"/>
          <w:highlight w:val="none"/>
          <w:lang w:val="en-US" w:eastAsia="zh-CN"/>
        </w:rPr>
        <w:t>单位</w:t>
      </w:r>
      <w:r>
        <w:rPr>
          <w:rFonts w:hint="eastAsia" w:ascii="仿宋_GB2312" w:eastAsia="仿宋_GB2312"/>
          <w:sz w:val="32"/>
          <w:szCs w:val="32"/>
          <w:highlight w:val="none"/>
        </w:rPr>
        <w:t>所有收入和支出均纳入部门预算管理</w:t>
      </w:r>
      <w:r>
        <w:rPr>
          <w:rFonts w:hint="eastAsia" w:ascii="仿宋_GB2312" w:eastAsia="仿宋_GB2312"/>
          <w:sz w:val="32"/>
          <w:szCs w:val="32"/>
          <w:highlight w:val="none"/>
          <w:lang w:val="en-US"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b/>
          <w:bCs/>
          <w:sz w:val="32"/>
          <w:szCs w:val="32"/>
          <w:highlight w:val="none"/>
        </w:rPr>
      </w:pPr>
      <w:r>
        <w:rPr>
          <w:rFonts w:hint="eastAsia" w:ascii="仿宋_GB2312" w:eastAsia="仿宋_GB2312"/>
          <w:sz w:val="32"/>
          <w:szCs w:val="32"/>
          <w:highlight w:val="none"/>
          <w:lang w:val="en-US" w:eastAsia="zh-CN"/>
        </w:rPr>
        <w:t>收入预算：2023年收入预算</w:t>
      </w:r>
      <w:r>
        <w:rPr>
          <w:rFonts w:hint="eastAsia" w:eastAsia="仿宋_GB2312"/>
          <w:sz w:val="32"/>
          <w:szCs w:val="32"/>
          <w:highlight w:val="none"/>
          <w:lang w:val="en-US" w:eastAsia="zh-CN"/>
        </w:rPr>
        <w:t>992.52万元，其中</w:t>
      </w:r>
      <w:r>
        <w:rPr>
          <w:rFonts w:hint="eastAsia" w:ascii="仿宋_GB2312" w:eastAsia="仿宋_GB2312"/>
          <w:sz w:val="32"/>
          <w:szCs w:val="32"/>
          <w:highlight w:val="none"/>
        </w:rPr>
        <w:t>一般公共预算收入</w:t>
      </w:r>
      <w:r>
        <w:rPr>
          <w:rFonts w:hint="eastAsia" w:eastAsia="仿宋_GB2312"/>
          <w:sz w:val="32"/>
          <w:szCs w:val="32"/>
          <w:highlight w:val="none"/>
          <w:lang w:val="en-US" w:eastAsia="zh-CN"/>
        </w:rPr>
        <w:t>992.52万元</w:t>
      </w:r>
      <w:r>
        <w:rPr>
          <w:rFonts w:hint="eastAsia" w:ascii="仿宋_GB2312" w:eastAsia="仿宋_GB2312"/>
          <w:sz w:val="32"/>
          <w:szCs w:val="32"/>
          <w:highlight w:val="none"/>
        </w:rPr>
        <w:t>、政府性基金预算收入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、国有资本经营预算收入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、财政专户管理资金收入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、事业单位经营收入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、上级补助收入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、附属单位上缴收入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、其他收入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、使用非财政拨款结余</w:t>
      </w:r>
      <w:r>
        <w:rPr>
          <w:rFonts w:hint="eastAsia" w:eastAsia="仿宋_GB2312"/>
          <w:sz w:val="32"/>
          <w:szCs w:val="32"/>
          <w:highlight w:val="none"/>
          <w:lang w:val="en-US" w:eastAsia="zh-CN"/>
        </w:rPr>
        <w:t>0万元</w:t>
      </w:r>
      <w:r>
        <w:rPr>
          <w:rFonts w:hint="eastAsia" w:ascii="仿宋_GB2312" w:eastAsia="仿宋_GB2312"/>
          <w:sz w:val="32"/>
          <w:szCs w:val="32"/>
          <w:highlight w:val="none"/>
        </w:rPr>
        <w:t>、上年结转</w:t>
      </w:r>
      <w:r>
        <w:rPr>
          <w:rFonts w:hint="eastAsia" w:eastAsia="仿宋_GB2312"/>
          <w:sz w:val="32"/>
          <w:szCs w:val="32"/>
          <w:highlight w:val="none"/>
          <w:lang w:val="en-US" w:eastAsia="zh-CN"/>
        </w:rPr>
        <w:t>0万元。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r>
        <w:rPr>
          <w:highlight w:val="none"/>
        </w:rPr>
        <w:drawing>
          <wp:anchor distT="0" distB="0" distL="114300" distR="114300" simplePos="0" relativeHeight="251659264" behindDoc="1" locked="0" layoutInCell="1" allowOverlap="1">
            <wp:simplePos x="0" y="0"/>
            <wp:positionH relativeFrom="column">
              <wp:posOffset>385445</wp:posOffset>
            </wp:positionH>
            <wp:positionV relativeFrom="paragraph">
              <wp:posOffset>137795</wp:posOffset>
            </wp:positionV>
            <wp:extent cx="4572000" cy="2743200"/>
            <wp:effectExtent l="4445" t="4445" r="14605" b="14605"/>
            <wp:wrapTight wrapText="bothSides">
              <wp:wrapPolygon>
                <wp:start x="-21" y="-35"/>
                <wp:lineTo x="-21" y="21565"/>
                <wp:lineTo x="21579" y="21565"/>
                <wp:lineTo x="21579" y="-35"/>
                <wp:lineTo x="-21" y="-35"/>
              </wp:wrapPolygon>
            </wp:wrapTight>
            <wp:docPr id="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b/>
          <w:bCs/>
          <w:sz w:val="32"/>
          <w:szCs w:val="32"/>
          <w:highlight w:val="none"/>
        </w:rPr>
      </w:pPr>
      <w:r>
        <w:rPr>
          <w:rFonts w:hint="eastAsia" w:ascii="仿宋_GB2312" w:eastAsia="仿宋_GB2312"/>
          <w:sz w:val="32"/>
          <w:szCs w:val="32"/>
          <w:highlight w:val="none"/>
          <w:lang w:val="en-US" w:eastAsia="zh-CN"/>
        </w:rPr>
        <w:t>支出预算：2023年支出预算</w:t>
      </w:r>
      <w:r>
        <w:rPr>
          <w:rFonts w:hint="eastAsia" w:eastAsia="仿宋_GB2312"/>
          <w:sz w:val="32"/>
          <w:szCs w:val="32"/>
          <w:highlight w:val="none"/>
          <w:lang w:val="en-US" w:eastAsia="zh-CN"/>
        </w:rPr>
        <w:t>992.52万元，</w:t>
      </w:r>
      <w:r>
        <w:rPr>
          <w:rFonts w:hint="eastAsia" w:ascii="仿宋_GB2312" w:eastAsia="仿宋_GB2312"/>
          <w:sz w:val="32"/>
          <w:szCs w:val="32"/>
          <w:highlight w:val="none"/>
        </w:rPr>
        <w:t>其中基本支出</w:t>
      </w:r>
      <w:r>
        <w:rPr>
          <w:rFonts w:hint="eastAsia" w:ascii="仿宋_GB2312" w:eastAsia="仿宋_GB2312"/>
          <w:sz w:val="32"/>
          <w:szCs w:val="32"/>
          <w:highlight w:val="none"/>
          <w:lang w:val="en-US" w:eastAsia="zh-CN"/>
        </w:rPr>
        <w:t>670.52</w:t>
      </w:r>
      <w:r>
        <w:rPr>
          <w:rFonts w:hint="eastAsia" w:ascii="仿宋_GB2312" w:eastAsia="仿宋_GB2312"/>
          <w:sz w:val="32"/>
          <w:szCs w:val="32"/>
          <w:highlight w:val="none"/>
        </w:rPr>
        <w:t>万元，项目支出</w:t>
      </w:r>
      <w:r>
        <w:rPr>
          <w:rFonts w:hint="eastAsia" w:ascii="仿宋_GB2312" w:eastAsia="仿宋_GB2312"/>
          <w:sz w:val="32"/>
          <w:szCs w:val="32"/>
          <w:highlight w:val="none"/>
          <w:lang w:val="en-US" w:eastAsia="zh-CN"/>
        </w:rPr>
        <w:t>322</w:t>
      </w:r>
      <w:r>
        <w:rPr>
          <w:rFonts w:hint="eastAsia" w:ascii="仿宋_GB2312" w:eastAsia="仿宋_GB2312"/>
          <w:sz w:val="32"/>
          <w:szCs w:val="32"/>
          <w:highlight w:val="none"/>
        </w:rPr>
        <w:t>万元，上缴上级支出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万元，对附属单位补助支出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万元，事业单位经营支出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结转下年0</w:t>
      </w:r>
      <w:r>
        <w:rPr>
          <w:rFonts w:hint="eastAsia" w:ascii="仿宋_GB2312" w:eastAsia="仿宋_GB2312"/>
          <w:sz w:val="32"/>
          <w:szCs w:val="32"/>
          <w:highlight w:val="none"/>
        </w:rPr>
        <w:t>万元。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r>
        <w:rPr>
          <w:highlight w:val="none"/>
        </w:rPr>
        <w:drawing>
          <wp:anchor distT="0" distB="0" distL="114300" distR="114300" simplePos="0" relativeHeight="251660288" behindDoc="1" locked="0" layoutInCell="1" allowOverlap="1">
            <wp:simplePos x="0" y="0"/>
            <wp:positionH relativeFrom="column">
              <wp:posOffset>414020</wp:posOffset>
            </wp:positionH>
            <wp:positionV relativeFrom="paragraph">
              <wp:posOffset>-557530</wp:posOffset>
            </wp:positionV>
            <wp:extent cx="4572000" cy="3162300"/>
            <wp:effectExtent l="4445" t="4445" r="14605" b="14605"/>
            <wp:wrapTight wrapText="bothSides">
              <wp:wrapPolygon>
                <wp:start x="-21" y="-30"/>
                <wp:lineTo x="-21" y="21570"/>
                <wp:lineTo x="21579" y="21570"/>
                <wp:lineTo x="21579" y="-30"/>
                <wp:lineTo x="-21" y="-30"/>
              </wp:wrapPolygon>
            </wp:wrapTight>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三</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增减变化情况：2023年收支预算</w:t>
      </w:r>
      <w:r>
        <w:rPr>
          <w:rFonts w:hint="eastAsia" w:eastAsia="仿宋_GB2312"/>
          <w:sz w:val="32"/>
          <w:szCs w:val="32"/>
          <w:highlight w:val="none"/>
          <w:lang w:val="en-US" w:eastAsia="zh-CN"/>
        </w:rPr>
        <w:t>992.52万元，较上年预算增加94.7</w:t>
      </w:r>
      <w:r>
        <w:rPr>
          <w:rFonts w:hint="eastAsia" w:ascii="仿宋_GB2312" w:eastAsia="仿宋_GB2312"/>
          <w:sz w:val="32"/>
          <w:szCs w:val="32"/>
          <w:highlight w:val="none"/>
        </w:rPr>
        <w:t>万元</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其中：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1.收入预算</w:t>
      </w:r>
      <w:r>
        <w:rPr>
          <w:rFonts w:hint="eastAsia" w:eastAsia="仿宋_GB2312"/>
          <w:sz w:val="32"/>
          <w:szCs w:val="32"/>
          <w:highlight w:val="none"/>
          <w:lang w:val="en-US" w:eastAsia="zh-CN"/>
        </w:rPr>
        <w:t>增加94.7万元，其中</w:t>
      </w:r>
      <w:r>
        <w:rPr>
          <w:rFonts w:hint="eastAsia" w:ascii="仿宋_GB2312" w:eastAsia="仿宋_GB2312"/>
          <w:sz w:val="32"/>
          <w:szCs w:val="32"/>
          <w:highlight w:val="none"/>
        </w:rPr>
        <w:t>一般公共预算收入</w:t>
      </w:r>
      <w:r>
        <w:rPr>
          <w:rFonts w:hint="eastAsia" w:eastAsia="仿宋_GB2312"/>
          <w:sz w:val="32"/>
          <w:szCs w:val="32"/>
          <w:highlight w:val="none"/>
          <w:lang w:val="en-US" w:eastAsia="zh-CN"/>
        </w:rPr>
        <w:t>增加94.7万元</w:t>
      </w:r>
      <w:r>
        <w:rPr>
          <w:rFonts w:hint="eastAsia" w:ascii="仿宋_GB2312" w:eastAsia="仿宋_GB2312"/>
          <w:sz w:val="32"/>
          <w:szCs w:val="32"/>
          <w:highlight w:val="none"/>
        </w:rPr>
        <w:t>、政府性基金预算收入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、国有资本经营预算收入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、财政专户管理资金收入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、事业收入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、事业单位经营收入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、上级补助收入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、附属单位上缴收入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、其他收入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、使用非财政拨款结余</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、上年结转</w:t>
      </w:r>
      <w:r>
        <w:rPr>
          <w:rFonts w:hint="eastAsia" w:eastAsia="仿宋_GB2312"/>
          <w:sz w:val="32"/>
          <w:szCs w:val="32"/>
          <w:highlight w:val="none"/>
          <w:lang w:val="en-US" w:eastAsia="zh-CN"/>
        </w:rPr>
        <w:t>增加0万元。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仿宋_GB2312"/>
          <w:sz w:val="32"/>
          <w:szCs w:val="32"/>
          <w:highlight w:val="none"/>
          <w:lang w:val="en-US" w:eastAsia="zh-CN"/>
        </w:rPr>
      </w:pPr>
      <w:r>
        <w:rPr>
          <w:rFonts w:hint="eastAsia" w:ascii="仿宋_GB2312" w:eastAsia="仿宋_GB2312"/>
          <w:sz w:val="32"/>
          <w:szCs w:val="32"/>
          <w:highlight w:val="none"/>
          <w:lang w:val="en-US" w:eastAsia="zh-CN"/>
        </w:rPr>
        <w:t>2.支出预算</w:t>
      </w:r>
      <w:r>
        <w:rPr>
          <w:rFonts w:hint="eastAsia" w:eastAsia="仿宋_GB2312"/>
          <w:sz w:val="32"/>
          <w:szCs w:val="32"/>
          <w:highlight w:val="none"/>
          <w:lang w:val="en-US" w:eastAsia="zh-CN"/>
        </w:rPr>
        <w:t>增加94.7万元，</w:t>
      </w:r>
      <w:r>
        <w:rPr>
          <w:rFonts w:hint="eastAsia" w:ascii="仿宋_GB2312" w:eastAsia="仿宋_GB2312"/>
          <w:sz w:val="32"/>
          <w:szCs w:val="32"/>
          <w:highlight w:val="none"/>
          <w:lang w:val="en-US" w:eastAsia="zh-CN"/>
        </w:rPr>
        <w:t>其中基本支出增加</w:t>
      </w:r>
      <w:r>
        <w:rPr>
          <w:rFonts w:hint="eastAsia" w:eastAsia="仿宋_GB2312"/>
          <w:sz w:val="32"/>
          <w:szCs w:val="32"/>
          <w:highlight w:val="none"/>
          <w:lang w:val="en-US" w:eastAsia="zh-CN"/>
        </w:rPr>
        <w:t>0万元；项目支出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94.7万元；上缴上级支出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0万元；</w:t>
      </w:r>
      <w:r>
        <w:rPr>
          <w:rFonts w:hint="eastAsia" w:ascii="仿宋_GB2312" w:eastAsia="仿宋_GB2312"/>
          <w:sz w:val="32"/>
          <w:szCs w:val="32"/>
          <w:highlight w:val="none"/>
        </w:rPr>
        <w:t>对附属单位补助支出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事业单位经营支出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0万元；</w:t>
      </w:r>
      <w:r>
        <w:rPr>
          <w:rFonts w:hint="eastAsia" w:ascii="仿宋_GB2312" w:eastAsia="仿宋_GB2312"/>
          <w:sz w:val="32"/>
          <w:szCs w:val="32"/>
          <w:highlight w:val="none"/>
          <w:lang w:val="en-US" w:eastAsia="zh-CN"/>
        </w:rPr>
        <w:t>结转下年增加</w:t>
      </w:r>
      <w:r>
        <w:rPr>
          <w:rFonts w:hint="eastAsia" w:eastAsia="仿宋_GB2312"/>
          <w:sz w:val="32"/>
          <w:szCs w:val="32"/>
          <w:highlight w:val="none"/>
          <w:lang w:val="en-US" w:eastAsia="zh-CN"/>
        </w:rPr>
        <w:t>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仿宋_GB2312"/>
          <w:sz w:val="32"/>
          <w:szCs w:val="32"/>
          <w:highlight w:val="none"/>
          <w:lang w:val="en-US" w:eastAsia="zh-CN"/>
        </w:rPr>
      </w:pPr>
      <w:r>
        <w:rPr>
          <w:rFonts w:hint="eastAsia" w:eastAsia="仿宋_GB2312"/>
          <w:sz w:val="32"/>
          <w:szCs w:val="32"/>
          <w:highlight w:val="none"/>
          <w:lang w:val="en-US" w:eastAsia="zh-CN"/>
        </w:rPr>
        <w:t>3.收支预算增加的主要原因：项目经费比去年有所增加。</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黑体"/>
          <w:sz w:val="32"/>
          <w:szCs w:val="32"/>
          <w:highlight w:val="none"/>
          <w:lang w:val="en-US" w:eastAsia="zh-CN"/>
        </w:rPr>
      </w:pPr>
      <w:r>
        <w:rPr>
          <w:rFonts w:hint="eastAsia" w:ascii="黑体" w:eastAsia="黑体"/>
          <w:sz w:val="32"/>
          <w:szCs w:val="32"/>
          <w:highlight w:val="none"/>
          <w:lang w:val="en-US" w:eastAsia="zh-CN"/>
        </w:rPr>
        <w:t>二、</w:t>
      </w:r>
      <w:r>
        <w:rPr>
          <w:rFonts w:hint="eastAsia" w:ascii="黑体" w:eastAsia="黑体"/>
          <w:sz w:val="32"/>
          <w:szCs w:val="32"/>
          <w:highlight w:val="none"/>
        </w:rPr>
        <w:t>“三公”经费支出</w:t>
      </w:r>
      <w:r>
        <w:rPr>
          <w:rFonts w:hint="eastAsia" w:ascii="黑体" w:eastAsia="黑体"/>
          <w:sz w:val="32"/>
          <w:szCs w:val="32"/>
          <w:highlight w:val="none"/>
          <w:lang w:val="en-US" w:eastAsia="zh-CN"/>
        </w:rPr>
        <w:t>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eastAsia="仿宋_GB2312"/>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年通过一般公共预算财政拨款安排的</w:t>
      </w:r>
      <w:r>
        <w:rPr>
          <w:rFonts w:hint="eastAsia" w:eastAsia="仿宋_GB2312"/>
          <w:sz w:val="32"/>
          <w:szCs w:val="32"/>
          <w:highlight w:val="none"/>
        </w:rPr>
        <w:t>“三公”经费预算共</w:t>
      </w:r>
      <w:r>
        <w:rPr>
          <w:rFonts w:hint="eastAsia" w:ascii="仿宋_GB2312" w:eastAsia="仿宋_GB2312"/>
          <w:sz w:val="32"/>
          <w:szCs w:val="32"/>
          <w:highlight w:val="none"/>
          <w:lang w:val="en-US" w:eastAsia="zh-CN"/>
        </w:rPr>
        <w:t>3</w:t>
      </w:r>
      <w:r>
        <w:rPr>
          <w:rFonts w:hint="eastAsia" w:eastAsia="仿宋_GB2312"/>
          <w:sz w:val="32"/>
          <w:szCs w:val="32"/>
          <w:highlight w:val="none"/>
        </w:rPr>
        <w:t>万元，</w:t>
      </w:r>
      <w:r>
        <w:rPr>
          <w:rFonts w:hint="eastAsia" w:eastAsia="仿宋_GB2312"/>
          <w:sz w:val="32"/>
          <w:szCs w:val="32"/>
          <w:highlight w:val="none"/>
          <w:lang w:eastAsia="zh-CN"/>
        </w:rPr>
        <w:t>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rPr>
      </w:pPr>
      <w:r>
        <w:rPr>
          <w:rFonts w:hint="eastAsia" w:ascii="仿宋_GB2312" w:eastAsia="仿宋_GB2312"/>
          <w:sz w:val="32"/>
          <w:szCs w:val="32"/>
          <w:highlight w:val="none"/>
        </w:rPr>
        <w:t>其中：</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因公出国（境）费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rPr>
      </w:pP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公务用车购置及运行费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万元，包括公务用车购置费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万元，与上年持平；公务用车运行维护费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eastAsia="仿宋_GB2312"/>
          <w:sz w:val="32"/>
          <w:szCs w:val="32"/>
          <w:highlight w:val="none"/>
          <w:lang w:eastAsia="zh-CN"/>
        </w:rPr>
      </w:pP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公务接待费</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highlight w:val="none"/>
          <w:lang w:val="en-US" w:eastAsia="zh-CN"/>
        </w:rPr>
      </w:pPr>
      <w:r>
        <w:rPr>
          <w:rFonts w:hint="eastAsia" w:ascii="黑体" w:eastAsia="黑体"/>
          <w:sz w:val="32"/>
          <w:szCs w:val="32"/>
          <w:highlight w:val="none"/>
          <w:lang w:val="en-US" w:eastAsia="zh-CN"/>
        </w:rPr>
        <w:t>三、机关运行经费情况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b/>
          <w:sz w:val="32"/>
          <w:szCs w:val="32"/>
          <w:highlight w:val="none"/>
        </w:rPr>
      </w:pPr>
      <w:r>
        <w:rPr>
          <w:rFonts w:hint="eastAsia" w:ascii="仿宋_GB2312" w:eastAsia="仿宋_GB2312"/>
          <w:sz w:val="32"/>
          <w:szCs w:val="32"/>
          <w:highlight w:val="none"/>
        </w:rPr>
        <w:t>机关运行经费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r>
        <w:rPr>
          <w:rFonts w:hint="eastAsia" w:ascii="仿宋_GB2312" w:eastAsia="仿宋_GB2312"/>
          <w:sz w:val="32"/>
          <w:szCs w:val="32"/>
          <w:highlight w:val="none"/>
          <w:lang w:val="en-US" w:eastAsia="zh-CN"/>
        </w:rPr>
        <w:t>2023年本单位机关运行经费安排70</w:t>
      </w:r>
      <w:r>
        <w:rPr>
          <w:rFonts w:hint="eastAsia" w:ascii="仿宋_GB2312" w:eastAsia="仿宋_GB2312"/>
          <w:sz w:val="32"/>
          <w:szCs w:val="32"/>
          <w:highlight w:val="none"/>
        </w:rPr>
        <w:t>万元。较</w:t>
      </w:r>
      <w:r>
        <w:rPr>
          <w:rFonts w:hint="eastAsia" w:ascii="仿宋_GB2312" w:eastAsia="仿宋_GB2312"/>
          <w:sz w:val="32"/>
          <w:szCs w:val="32"/>
          <w:highlight w:val="none"/>
          <w:lang w:eastAsia="zh-CN"/>
        </w:rPr>
        <w:t>2022</w:t>
      </w:r>
      <w:r>
        <w:rPr>
          <w:rFonts w:hint="eastAsia" w:ascii="仿宋_GB2312" w:eastAsia="仿宋_GB2312"/>
          <w:sz w:val="32"/>
          <w:szCs w:val="32"/>
          <w:highlight w:val="none"/>
        </w:rPr>
        <w:t>年预算减少</w:t>
      </w:r>
      <w:r>
        <w:rPr>
          <w:rFonts w:hint="eastAsia" w:ascii="仿宋_GB2312" w:eastAsia="仿宋_GB2312"/>
          <w:sz w:val="32"/>
          <w:szCs w:val="32"/>
          <w:highlight w:val="none"/>
          <w:lang w:val="en-US" w:eastAsia="zh-CN"/>
        </w:rPr>
        <w:t>37.01</w:t>
      </w:r>
      <w:r>
        <w:rPr>
          <w:rFonts w:hint="eastAsia" w:ascii="仿宋_GB2312" w:eastAsia="仿宋_GB2312"/>
          <w:sz w:val="32"/>
          <w:szCs w:val="32"/>
          <w:highlight w:val="none"/>
        </w:rPr>
        <w:t>万元，下降</w:t>
      </w:r>
      <w:r>
        <w:rPr>
          <w:rFonts w:hint="eastAsia" w:ascii="仿宋_GB2312" w:eastAsia="仿宋_GB2312"/>
          <w:sz w:val="32"/>
          <w:szCs w:val="32"/>
          <w:highlight w:val="none"/>
          <w:lang w:val="en-US" w:eastAsia="zh-CN"/>
        </w:rPr>
        <w:t>34.58</w:t>
      </w:r>
      <w:r>
        <w:rPr>
          <w:rFonts w:hint="eastAsia" w:ascii="仿宋_GB2312" w:eastAsia="仿宋_GB2312"/>
          <w:sz w:val="32"/>
          <w:szCs w:val="32"/>
          <w:highlight w:val="none"/>
        </w:rPr>
        <w:t>%。主要原因是：</w:t>
      </w:r>
      <w:r>
        <w:rPr>
          <w:rFonts w:hint="eastAsia" w:ascii="仿宋_GB2312" w:eastAsia="仿宋_GB2312"/>
          <w:sz w:val="32"/>
          <w:szCs w:val="32"/>
          <w:highlight w:val="none"/>
          <w:lang w:eastAsia="zh-CN"/>
        </w:rPr>
        <w:t>综合定额等公用经费按照相关规定予以压减。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eastAsia="黑体"/>
          <w:sz w:val="32"/>
          <w:szCs w:val="32"/>
          <w:highlight w:val="none"/>
          <w:lang w:val="en-US" w:eastAsia="zh-CN"/>
        </w:rPr>
      </w:pPr>
      <w:r>
        <w:rPr>
          <w:rFonts w:hint="eastAsia" w:ascii="黑体" w:eastAsia="黑体"/>
          <w:sz w:val="32"/>
          <w:szCs w:val="32"/>
          <w:highlight w:val="none"/>
          <w:lang w:val="en-US" w:eastAsia="zh-CN"/>
        </w:rPr>
        <w:t>四、政府采购情况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年政府采购预算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万元，其中：政府采购货物预算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万元，政府采购工程预算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万元，政府采购服务预算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highlight w:val="none"/>
          <w:lang w:val="en-US" w:eastAsia="zh-CN"/>
        </w:rPr>
      </w:pPr>
      <w:r>
        <w:rPr>
          <w:rFonts w:hint="eastAsia" w:ascii="黑体" w:eastAsia="黑体"/>
          <w:sz w:val="32"/>
          <w:szCs w:val="32"/>
          <w:highlight w:val="none"/>
          <w:lang w:val="en-US" w:eastAsia="zh-CN"/>
        </w:rPr>
        <w:t>五、国有资产占有使用情况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仿宋_GB2312" w:eastAsia="仿宋_GB2312"/>
          <w:sz w:val="32"/>
          <w:szCs w:val="32"/>
          <w:highlight w:val="none"/>
        </w:rPr>
      </w:pPr>
      <w:r>
        <w:rPr>
          <w:rFonts w:hint="eastAsia" w:ascii="仿宋_GB2312" w:eastAsia="仿宋_GB2312"/>
          <w:sz w:val="32"/>
          <w:szCs w:val="32"/>
          <w:highlight w:val="none"/>
        </w:rPr>
        <w:t>截至</w:t>
      </w:r>
      <w:r>
        <w:rPr>
          <w:rFonts w:hint="eastAsia" w:ascii="仿宋_GB2312" w:eastAsia="仿宋_GB2312"/>
          <w:sz w:val="32"/>
          <w:szCs w:val="32"/>
          <w:highlight w:val="none"/>
          <w:lang w:eastAsia="zh-CN"/>
        </w:rPr>
        <w:t>2022</w:t>
      </w:r>
      <w:r>
        <w:rPr>
          <w:rFonts w:hint="eastAsia" w:ascii="仿宋_GB2312" w:eastAsia="仿宋_GB2312"/>
          <w:sz w:val="32"/>
          <w:szCs w:val="32"/>
          <w:highlight w:val="none"/>
        </w:rPr>
        <w:t>年12月31日，</w:t>
      </w:r>
      <w:r>
        <w:rPr>
          <w:rFonts w:hint="eastAsia" w:ascii="仿宋_GB2312" w:eastAsia="仿宋_GB2312"/>
          <w:sz w:val="32"/>
          <w:szCs w:val="32"/>
          <w:highlight w:val="none"/>
          <w:lang w:val="en-US" w:eastAsia="zh-CN"/>
        </w:rPr>
        <w:t>本单位</w:t>
      </w:r>
      <w:r>
        <w:rPr>
          <w:rFonts w:hint="eastAsia" w:ascii="仿宋_GB2312" w:eastAsia="仿宋_GB2312"/>
          <w:sz w:val="32"/>
          <w:szCs w:val="32"/>
          <w:highlight w:val="none"/>
        </w:rPr>
        <w:t>共有车辆</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w:t>
      </w:r>
      <w:r>
        <w:rPr>
          <w:rFonts w:hint="eastAsia" w:ascii="仿宋_GB2312" w:eastAsia="仿宋_GB2312"/>
          <w:sz w:val="32"/>
          <w:szCs w:val="32"/>
          <w:highlight w:val="none"/>
          <w:lang w:val="en-US" w:eastAsia="zh-CN"/>
        </w:rPr>
        <w:t>，其中机</w:t>
      </w:r>
      <w:r>
        <w:rPr>
          <w:rFonts w:hint="eastAsia" w:ascii="仿宋_GB2312" w:eastAsia="仿宋_GB2312"/>
          <w:sz w:val="32"/>
          <w:szCs w:val="32"/>
          <w:highlight w:val="none"/>
        </w:rPr>
        <w:t>要通信用车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辆、应急保障用车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w:t>
      </w:r>
      <w:r>
        <w:rPr>
          <w:rFonts w:hint="eastAsia" w:ascii="仿宋_GB2312" w:hAnsi="仿宋" w:eastAsia="仿宋_GB2312"/>
          <w:sz w:val="32"/>
          <w:szCs w:val="32"/>
          <w:highlight w:val="none"/>
        </w:rPr>
        <w:t>执法执勤用车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辆，特种专业技术用车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辆，其他</w:t>
      </w:r>
      <w:r>
        <w:rPr>
          <w:rFonts w:hint="eastAsia" w:ascii="仿宋_GB2312" w:eastAsia="仿宋_GB2312"/>
          <w:sz w:val="32"/>
          <w:szCs w:val="32"/>
          <w:highlight w:val="none"/>
          <w:lang w:val="en-US" w:eastAsia="zh-CN"/>
        </w:rPr>
        <w:t>按照规定配备的公务用车0</w:t>
      </w:r>
      <w:r>
        <w:rPr>
          <w:rFonts w:hint="eastAsia" w:ascii="仿宋_GB2312" w:eastAsia="仿宋_GB2312"/>
          <w:sz w:val="32"/>
          <w:szCs w:val="32"/>
          <w:highlight w:val="none"/>
        </w:rPr>
        <w:t>辆。</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仿宋_GB2312" w:eastAsia="仿宋_GB2312"/>
          <w:sz w:val="32"/>
          <w:szCs w:val="32"/>
          <w:highlight w:val="none"/>
        </w:rPr>
      </w:pPr>
      <w:r>
        <w:rPr>
          <w:rFonts w:hint="eastAsia" w:ascii="仿宋_GB2312" w:eastAsia="仿宋_GB2312"/>
          <w:sz w:val="32"/>
          <w:szCs w:val="32"/>
          <w:highlight w:val="none"/>
        </w:rPr>
        <w:t>单位价值50万元以上通用设备</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台（件、套），单位价值100万元以上专用设备</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台（件、套）。</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年预算未</w:t>
      </w:r>
      <w:r>
        <w:rPr>
          <w:rFonts w:hint="eastAsia" w:ascii="仿宋_GB2312" w:eastAsia="仿宋_GB2312"/>
          <w:sz w:val="32"/>
          <w:szCs w:val="32"/>
          <w:highlight w:val="none"/>
          <w:lang w:val="en-US" w:eastAsia="zh-CN"/>
        </w:rPr>
        <w:t>安排购置</w:t>
      </w:r>
      <w:r>
        <w:rPr>
          <w:rFonts w:hint="eastAsia" w:ascii="仿宋_GB2312" w:eastAsia="仿宋_GB2312"/>
          <w:sz w:val="32"/>
          <w:szCs w:val="32"/>
          <w:highlight w:val="none"/>
        </w:rPr>
        <w:t>单位价值50万元以上通用设备、</w:t>
      </w: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年预算未安排购置单位价值100万元以上专用设备</w:t>
      </w:r>
      <w:r>
        <w:rPr>
          <w:rFonts w:hint="eastAsia" w:ascii="仿宋_GB2312" w:eastAsia="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highlight w:val="none"/>
          <w:lang w:val="en-US" w:eastAsia="zh-CN"/>
        </w:rPr>
      </w:pPr>
      <w:r>
        <w:rPr>
          <w:rFonts w:hint="eastAsia" w:ascii="黑体" w:eastAsia="黑体"/>
          <w:sz w:val="32"/>
          <w:szCs w:val="32"/>
          <w:highlight w:val="none"/>
          <w:lang w:val="en-US" w:eastAsia="zh-CN"/>
        </w:rPr>
        <w:t>六、绩效目标情况说明</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楷体_GB2312" w:eastAsia="楷体_GB2312"/>
          <w:sz w:val="32"/>
          <w:szCs w:val="32"/>
          <w:highlight w:val="none"/>
        </w:rPr>
      </w:pPr>
      <w:r>
        <w:rPr>
          <w:rFonts w:hint="eastAsia" w:ascii="楷体_GB2312" w:eastAsia="楷体_GB2312"/>
          <w:sz w:val="32"/>
          <w:szCs w:val="32"/>
          <w:highlight w:val="none"/>
        </w:rPr>
        <w:t>（</w:t>
      </w:r>
      <w:r>
        <w:rPr>
          <w:rFonts w:hint="eastAsia" w:ascii="楷体_GB2312" w:eastAsia="楷体_GB2312"/>
          <w:sz w:val="32"/>
          <w:szCs w:val="32"/>
          <w:highlight w:val="none"/>
          <w:lang w:val="en-US" w:eastAsia="zh-CN"/>
        </w:rPr>
        <w:t>一</w:t>
      </w:r>
      <w:r>
        <w:rPr>
          <w:rFonts w:hint="eastAsia" w:ascii="楷体_GB2312" w:eastAsia="楷体_GB2312"/>
          <w:sz w:val="32"/>
          <w:szCs w:val="32"/>
          <w:highlight w:val="none"/>
        </w:rPr>
        <w:t>）预算绩效管理情况</w:t>
      </w:r>
    </w:p>
    <w:p>
      <w:pPr>
        <w:spacing w:line="600" w:lineRule="exact"/>
        <w:ind w:left="200" w:firstLine="640"/>
        <w:rPr>
          <w:rFonts w:ascii="仿宋_GB2312" w:eastAsia="仿宋_GB2312"/>
          <w:sz w:val="32"/>
          <w:szCs w:val="32"/>
          <w:highlight w:val="none"/>
        </w:rPr>
      </w:pPr>
      <w:r>
        <w:rPr>
          <w:rFonts w:hint="eastAsia" w:ascii="仿宋_GB2312" w:eastAsia="仿宋_GB2312"/>
          <w:sz w:val="32"/>
          <w:szCs w:val="32"/>
          <w:highlight w:val="none"/>
          <w:lang w:eastAsia="zh-CN"/>
        </w:rPr>
        <w:t>中国共产党威海市委员会统一战线工作部</w:t>
      </w:r>
      <w:r>
        <w:rPr>
          <w:rFonts w:hint="eastAsia" w:ascii="仿宋_GB2312" w:eastAsia="仿宋_GB2312"/>
          <w:sz w:val="32"/>
          <w:szCs w:val="32"/>
          <w:highlight w:val="none"/>
        </w:rPr>
        <w:t>202</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年项目支出全面实施绩效目标管理，涉及预算项目支出</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个，预算资金</w:t>
      </w:r>
      <w:r>
        <w:rPr>
          <w:rFonts w:hint="eastAsia" w:ascii="仿宋_GB2312" w:eastAsia="仿宋_GB2312"/>
          <w:sz w:val="32"/>
          <w:szCs w:val="32"/>
          <w:highlight w:val="none"/>
          <w:lang w:val="en-US" w:eastAsia="zh-CN"/>
        </w:rPr>
        <w:t>52</w:t>
      </w:r>
      <w:r>
        <w:rPr>
          <w:rFonts w:hint="eastAsia" w:ascii="仿宋_GB2312" w:eastAsia="仿宋_GB2312"/>
          <w:sz w:val="32"/>
          <w:szCs w:val="32"/>
          <w:highlight w:val="none"/>
        </w:rPr>
        <w:t>万元，其中财政拨款</w:t>
      </w:r>
      <w:r>
        <w:rPr>
          <w:rFonts w:hint="eastAsia" w:ascii="仿宋_GB2312" w:eastAsia="仿宋_GB2312"/>
          <w:sz w:val="32"/>
          <w:szCs w:val="32"/>
          <w:highlight w:val="none"/>
          <w:lang w:val="en-US" w:eastAsia="zh-CN"/>
        </w:rPr>
        <w:t>52</w:t>
      </w:r>
      <w:r>
        <w:rPr>
          <w:rFonts w:hint="eastAsia" w:ascii="仿宋_GB2312" w:eastAsia="仿宋_GB2312"/>
          <w:sz w:val="32"/>
          <w:szCs w:val="32"/>
          <w:highlight w:val="none"/>
        </w:rPr>
        <w:t>万元。拟对</w:t>
      </w:r>
      <w:r>
        <w:rPr>
          <w:rFonts w:hint="eastAsia" w:ascii="仿宋_GB2312" w:eastAsia="仿宋_GB2312"/>
          <w:sz w:val="32"/>
          <w:szCs w:val="32"/>
          <w:highlight w:val="none"/>
          <w:lang w:eastAsia="zh-CN"/>
        </w:rPr>
        <w:t>调研经费</w:t>
      </w:r>
      <w:r>
        <w:rPr>
          <w:rFonts w:hint="eastAsia" w:ascii="仿宋_GB2312" w:eastAsia="仿宋_GB2312"/>
          <w:sz w:val="32"/>
          <w:szCs w:val="32"/>
          <w:highlight w:val="none"/>
        </w:rPr>
        <w:t>等</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个项目开展重点绩效评价，涉及预算资金</w:t>
      </w:r>
      <w:r>
        <w:rPr>
          <w:rFonts w:hint="eastAsia" w:ascii="仿宋_GB2312" w:eastAsia="仿宋_GB2312"/>
          <w:sz w:val="32"/>
          <w:szCs w:val="32"/>
          <w:highlight w:val="none"/>
          <w:lang w:val="en-US" w:eastAsia="zh-CN"/>
        </w:rPr>
        <w:t>52</w:t>
      </w:r>
      <w:r>
        <w:rPr>
          <w:rFonts w:hint="eastAsia" w:ascii="仿宋_GB2312" w:eastAsia="仿宋_GB2312"/>
          <w:sz w:val="32"/>
          <w:szCs w:val="32"/>
          <w:highlight w:val="none"/>
        </w:rPr>
        <w:t>万元，其中财政拨款</w:t>
      </w:r>
      <w:r>
        <w:rPr>
          <w:rFonts w:hint="eastAsia" w:ascii="仿宋_GB2312" w:eastAsia="仿宋_GB2312"/>
          <w:sz w:val="32"/>
          <w:szCs w:val="32"/>
          <w:highlight w:val="none"/>
          <w:lang w:val="en-US" w:eastAsia="zh-CN"/>
        </w:rPr>
        <w:t>52</w:t>
      </w:r>
      <w:r>
        <w:rPr>
          <w:rFonts w:hint="eastAsia" w:ascii="仿宋_GB2312" w:eastAsia="仿宋_GB2312"/>
          <w:sz w:val="32"/>
          <w:szCs w:val="32"/>
          <w:highlight w:val="none"/>
        </w:rPr>
        <w:t>万元。根据以前年度绩效评价结果，优化</w:t>
      </w:r>
      <w:r>
        <w:rPr>
          <w:rFonts w:hint="eastAsia" w:ascii="仿宋_GB2312" w:eastAsia="仿宋_GB2312"/>
          <w:sz w:val="32"/>
          <w:szCs w:val="32"/>
          <w:highlight w:val="none"/>
          <w:lang w:eastAsia="zh-CN"/>
        </w:rPr>
        <w:t>调研经费</w:t>
      </w:r>
      <w:r>
        <w:rPr>
          <w:rFonts w:hint="eastAsia" w:ascii="仿宋_GB2312" w:eastAsia="仿宋_GB2312"/>
          <w:sz w:val="32"/>
          <w:szCs w:val="32"/>
          <w:highlight w:val="none"/>
        </w:rPr>
        <w:t>等项目支出202</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年预算安排，进一步改进管理、完善政策。</w:t>
      </w:r>
    </w:p>
    <w:p>
      <w:pPr>
        <w:keepNext w:val="0"/>
        <w:keepLines w:val="0"/>
        <w:pageBreakBefore w:val="0"/>
        <w:widowControl w:val="0"/>
        <w:kinsoku/>
        <w:wordWrap/>
        <w:overflowPunct/>
        <w:topLinePunct w:val="0"/>
        <w:autoSpaceDE/>
        <w:autoSpaceDN/>
        <w:bidi w:val="0"/>
        <w:adjustRightInd/>
        <w:snapToGrid/>
        <w:spacing w:line="600" w:lineRule="exact"/>
        <w:ind w:left="200" w:firstLine="640"/>
        <w:textAlignment w:val="auto"/>
        <w:rPr>
          <w:rFonts w:hint="eastAsia" w:ascii="仿宋_GB2312" w:eastAsia="仿宋_GB2312"/>
          <w:sz w:val="32"/>
          <w:szCs w:val="32"/>
          <w:highlight w:val="none"/>
        </w:rPr>
      </w:pPr>
    </w:p>
    <w:p>
      <w:pPr>
        <w:pStyle w:val="12"/>
        <w:spacing w:line="580" w:lineRule="atLeast"/>
        <w:ind w:firstLine="640"/>
        <w:rPr>
          <w:rFonts w:ascii="仿宋_GB2312" w:eastAsia="仿宋_GB2312"/>
          <w:b/>
          <w:bCs/>
          <w:sz w:val="32"/>
          <w:szCs w:val="32"/>
          <w:highlight w:val="none"/>
        </w:rPr>
        <w:sectPr>
          <w:pgSz w:w="11906" w:h="16838"/>
          <w:pgMar w:top="1440" w:right="1803" w:bottom="1440" w:left="1803" w:header="851" w:footer="992" w:gutter="0"/>
          <w:cols w:space="0" w:num="1"/>
          <w:docGrid w:type="lines" w:linePitch="319" w:charSpace="0"/>
        </w:sectPr>
      </w:pPr>
      <w:r>
        <w:rPr>
          <w:rFonts w:ascii="仿宋_GB2312" w:eastAsia="仿宋_GB2312"/>
          <w:sz w:val="32"/>
          <w:szCs w:val="32"/>
          <w:highlight w:val="none"/>
        </w:rPr>
        <w:br w:type="page"/>
      </w:r>
    </w:p>
    <w:p>
      <w:pPr>
        <w:spacing w:line="600" w:lineRule="exact"/>
        <w:ind w:firstLine="600"/>
        <w:rPr>
          <w:rFonts w:ascii="楷体_GB2312" w:eastAsia="楷体_GB2312"/>
          <w:sz w:val="32"/>
          <w:szCs w:val="32"/>
          <w:highlight w:val="none"/>
        </w:rPr>
      </w:pPr>
      <w:r>
        <w:rPr>
          <w:rFonts w:hint="eastAsia" w:ascii="楷体_GB2312" w:eastAsia="楷体_GB2312"/>
          <w:sz w:val="32"/>
          <w:szCs w:val="32"/>
          <w:highlight w:val="none"/>
        </w:rPr>
        <w:t>（</w:t>
      </w:r>
      <w:r>
        <w:rPr>
          <w:rFonts w:hint="eastAsia" w:ascii="楷体_GB2312" w:eastAsia="楷体_GB2312"/>
          <w:sz w:val="32"/>
          <w:szCs w:val="32"/>
          <w:highlight w:val="none"/>
          <w:lang w:eastAsia="zh-CN"/>
        </w:rPr>
        <w:t>二</w:t>
      </w:r>
      <w:r>
        <w:rPr>
          <w:rFonts w:hint="eastAsia" w:ascii="楷体_GB2312" w:eastAsia="楷体_GB2312"/>
          <w:sz w:val="32"/>
          <w:szCs w:val="32"/>
          <w:highlight w:val="none"/>
        </w:rPr>
        <w:t>）</w:t>
      </w:r>
      <w:r>
        <w:rPr>
          <w:rFonts w:hint="eastAsia" w:ascii="楷体_GB2312" w:eastAsia="楷体_GB2312"/>
          <w:sz w:val="32"/>
          <w:szCs w:val="32"/>
          <w:highlight w:val="none"/>
          <w:lang w:eastAsia="zh-CN"/>
        </w:rPr>
        <w:t>单位</w:t>
      </w:r>
      <w:r>
        <w:rPr>
          <w:rFonts w:hint="eastAsia" w:ascii="楷体_GB2312" w:eastAsia="楷体_GB2312"/>
          <w:sz w:val="32"/>
          <w:szCs w:val="32"/>
          <w:highlight w:val="none"/>
        </w:rPr>
        <w:t>预算项目绩效目标表</w:t>
      </w:r>
    </w:p>
    <w:p>
      <w:pPr>
        <w:widowControl/>
        <w:spacing w:line="600" w:lineRule="exact"/>
        <w:ind w:firstLine="640"/>
        <w:rPr>
          <w:rFonts w:hint="eastAsia" w:ascii="仿宋_GB2312" w:eastAsia="仿宋_GB2312"/>
          <w:b/>
          <w:bCs/>
          <w:kern w:val="0"/>
          <w:sz w:val="32"/>
          <w:szCs w:val="32"/>
          <w:highlight w:val="none"/>
        </w:rPr>
      </w:pPr>
    </w:p>
    <w:tbl>
      <w:tblPr>
        <w:tblStyle w:val="8"/>
        <w:tblW w:w="865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0"/>
        <w:gridCol w:w="1270"/>
        <w:gridCol w:w="1446"/>
        <w:gridCol w:w="2053"/>
        <w:gridCol w:w="1455"/>
        <w:gridCol w:w="13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jc w:val="center"/>
        </w:trPr>
        <w:tc>
          <w:tcPr>
            <w:tcW w:w="8652" w:type="dxa"/>
            <w:gridSpan w:val="6"/>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32"/>
                <w:szCs w:val="32"/>
                <w:highlight w:val="none"/>
                <w:u w:val="none"/>
                <w:lang w:eastAsia="zh-CN"/>
              </w:rPr>
              <w:t>项目支出绩效目标表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项目名称</w:t>
            </w:r>
          </w:p>
        </w:tc>
        <w:tc>
          <w:tcPr>
            <w:tcW w:w="48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21"/>
                <w:szCs w:val="21"/>
                <w:highlight w:val="none"/>
                <w:u w:val="none"/>
                <w:lang w:eastAsia="zh-CN"/>
              </w:rPr>
              <w:t>调研经费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主管部门</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21"/>
                <w:szCs w:val="21"/>
                <w:highlight w:val="none"/>
                <w:u w:val="none"/>
                <w:lang w:eastAsia="zh-CN"/>
              </w:rPr>
              <w:t>中国共产党威海市委员会统一战线工作部</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实施单位</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21"/>
                <w:szCs w:val="21"/>
                <w:highlight w:val="none"/>
                <w:u w:val="none"/>
                <w:lang w:eastAsia="zh-CN"/>
              </w:rPr>
              <w:t>中国共产党威海市委员会统一战线工作部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项目资金</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（万元）</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年度预算资金总额：</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highlight w:val="none"/>
                <w:u w:val="none"/>
                <w:lang w:val="en-US" w:eastAsia="zh-CN"/>
              </w:rPr>
            </w:pPr>
            <w:r>
              <w:rPr>
                <w:rFonts w:hint="eastAsia" w:ascii="宋体" w:hAnsi="宋体" w:cs="宋体"/>
                <w:i w:val="0"/>
                <w:iCs w:val="0"/>
                <w:color w:val="000000"/>
                <w:sz w:val="21"/>
                <w:szCs w:val="21"/>
                <w:highlight w:val="none"/>
                <w:u w:val="none"/>
                <w:lang w:val="en-US" w:eastAsia="zh-CN"/>
              </w:rPr>
              <w:t>52万元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其中：财政拨款</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highlight w:val="none"/>
                <w:u w:val="none"/>
                <w:lang w:val="en-US" w:eastAsia="zh-CN"/>
              </w:rPr>
            </w:pPr>
            <w:r>
              <w:rPr>
                <w:rFonts w:hint="eastAsia" w:ascii="宋体" w:hAnsi="宋体" w:cs="宋体"/>
                <w:i w:val="0"/>
                <w:iCs w:val="0"/>
                <w:color w:val="000000"/>
                <w:sz w:val="21"/>
                <w:szCs w:val="21"/>
                <w:highlight w:val="none"/>
                <w:u w:val="none"/>
                <w:lang w:val="en-US" w:eastAsia="zh-CN"/>
              </w:rPr>
              <w:t>52万元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其他资金</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 w:hRule="atLeast"/>
          <w:jc w:val="center"/>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年度总体绩效目标</w:t>
            </w:r>
          </w:p>
        </w:tc>
        <w:tc>
          <w:tcPr>
            <w:tcW w:w="757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top"/>
              <w:outlineLvl w:val="9"/>
              <w:rPr>
                <w:rFonts w:hint="eastAsia" w:ascii="宋体" w:hAnsi="宋体" w:eastAsia="宋体" w:cs="宋体"/>
                <w:i w:val="0"/>
                <w:iCs w:val="0"/>
                <w:color w:val="000000"/>
                <w:sz w:val="21"/>
                <w:szCs w:val="21"/>
                <w:highlight w:val="none"/>
                <w:u w:val="none"/>
              </w:rPr>
            </w:pPr>
            <w:r>
              <w:rPr>
                <w:rFonts w:hint="eastAsia" w:ascii="宋体" w:hAnsi="宋体" w:cs="宋体"/>
                <w:color w:val="000000"/>
                <w:sz w:val="20"/>
                <w:szCs w:val="20"/>
                <w:highlight w:val="none"/>
              </w:rPr>
              <w:t>发挥民主党派参政议政和民主监督作用</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及时联系各民主党派和无党派人士，通报有关情况，听取意见建议</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加强党外后备干部和新的代表人物队伍的建设</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负责党外人士的政治安排和社会安排，会同有关部门培养、选拔、推荐党外人士担任领导职务</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开展海内外统一战线宣传工作</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加强与海内外工商界社团和代表人士及海外侨胞、台胞，开展以祖国统一为重点的统战工作</w:t>
            </w:r>
            <w:r>
              <w:rPr>
                <w:rFonts w:hint="eastAsia" w:ascii="宋体" w:hAnsi="宋体" w:cs="宋体"/>
                <w:color w:val="000000"/>
                <w:sz w:val="20"/>
                <w:szCs w:val="20"/>
                <w:highlight w:val="none"/>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绩</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效</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指</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标</w:t>
            </w:r>
          </w:p>
        </w:tc>
        <w:tc>
          <w:tcPr>
            <w:tcW w:w="127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一级指标</w:t>
            </w:r>
          </w:p>
        </w:tc>
        <w:tc>
          <w:tcPr>
            <w:tcW w:w="1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二级指标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三级指标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成本指标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经济成本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专款专用率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社会成本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生态环境</w:t>
            </w:r>
          </w:p>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val="en-US"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kern w:val="0"/>
                <w:sz w:val="20"/>
                <w:szCs w:val="20"/>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产出指标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数量指标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val="en-US" w:eastAsia="zh-CN"/>
              </w:rPr>
            </w:pPr>
            <w:r>
              <w:rPr>
                <w:rFonts w:hint="eastAsia" w:ascii="宋体" w:hAnsi="宋体"/>
                <w:kern w:val="0"/>
                <w:sz w:val="20"/>
                <w:szCs w:val="20"/>
                <w:lang w:val="en-US" w:eastAsia="zh-CN"/>
              </w:rPr>
              <w:t>民主党派人士调研次数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val="en-US" w:eastAsia="zh-CN"/>
              </w:rPr>
            </w:pPr>
            <w:r>
              <w:rPr>
                <w:rFonts w:hint="default" w:ascii="宋体" w:hAnsi="宋体"/>
                <w:kern w:val="0"/>
                <w:sz w:val="20"/>
                <w:szCs w:val="20"/>
                <w:lang w:val="en-US" w:eastAsia="zh-CN"/>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质量指标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民主党派人士参与调研率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default" w:ascii="宋体" w:hAnsi="宋体"/>
                <w:kern w:val="0"/>
                <w:sz w:val="20"/>
                <w:szCs w:val="20"/>
                <w:lang w:eastAsia="zh-CN"/>
              </w:rPr>
              <w:t>≥</w:t>
            </w:r>
            <w:r>
              <w:rPr>
                <w:rFonts w:hint="eastAsia" w:ascii="宋体" w:hAnsi="宋体"/>
                <w:kern w:val="0"/>
                <w:sz w:val="20"/>
                <w:szCs w:val="20"/>
                <w:lang w:val="en-US" w:eastAsia="zh-CN"/>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时效指标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调研反馈及时率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效益指标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经济效益</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社会效益</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民主党派开展下乡活动次数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default" w:ascii="宋体" w:hAnsi="宋体"/>
                <w:kern w:val="0"/>
                <w:sz w:val="20"/>
                <w:szCs w:val="20"/>
                <w:lang w:val="en-US" w:eastAsia="zh-CN"/>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cs="宋体"/>
                <w:i w:val="0"/>
                <w:iCs w:val="0"/>
                <w:color w:val="000000"/>
                <w:kern w:val="0"/>
                <w:sz w:val="21"/>
                <w:szCs w:val="21"/>
                <w:highlight w:val="none"/>
                <w:u w:val="none"/>
                <w:lang w:val="en-US" w:eastAsia="zh-CN" w:bidi="ar"/>
              </w:rPr>
              <w:t>可持续发展影响指标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长效管理机制健全性</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健全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满意度指标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服务对象</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满意度指标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活动参与者满意度</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default" w:ascii="宋体" w:hAnsi="宋体"/>
                <w:kern w:val="0"/>
                <w:sz w:val="20"/>
                <w:szCs w:val="20"/>
                <w:lang w:eastAsia="zh-CN"/>
              </w:rPr>
              <w:t>≥</w:t>
            </w:r>
            <w:r>
              <w:rPr>
                <w:rFonts w:hint="eastAsia" w:ascii="宋体" w:hAnsi="宋体"/>
                <w:kern w:val="0"/>
                <w:sz w:val="20"/>
                <w:szCs w:val="20"/>
                <w:lang w:val="en-US" w:eastAsia="zh-CN"/>
              </w:rPr>
              <w:t>9</w:t>
            </w:r>
            <w:bookmarkStart w:id="3" w:name="_GoBack"/>
            <w:bookmarkEnd w:id="3"/>
            <w:r>
              <w:rPr>
                <w:rFonts w:hint="eastAsia" w:ascii="宋体" w:hAnsi="宋体"/>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r>
    </w:tbl>
    <w:p>
      <w:pPr>
        <w:keepNext w:val="0"/>
        <w:keepLines w:val="0"/>
        <w:pageBreakBefore w:val="0"/>
        <w:widowControl/>
        <w:kinsoku/>
        <w:wordWrap/>
        <w:overflowPunct/>
        <w:topLinePunct w:val="0"/>
        <w:autoSpaceDE/>
        <w:autoSpaceDN/>
        <w:bidi w:val="0"/>
        <w:adjustRightInd/>
        <w:snapToGrid/>
        <w:spacing w:line="240" w:lineRule="atLeast"/>
        <w:jc w:val="left"/>
        <w:rPr>
          <w:rFonts w:ascii="仿宋_GB2312" w:eastAsia="仿宋_GB2312"/>
          <w:sz w:val="32"/>
          <w:szCs w:val="32"/>
          <w:highlight w:val="none"/>
        </w:rPr>
      </w:pPr>
      <w:r>
        <w:rPr>
          <w:rFonts w:ascii="仿宋_GB2312" w:eastAsia="仿宋_GB2312"/>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eastAsia="黑体"/>
          <w:sz w:val="32"/>
          <w:szCs w:val="32"/>
          <w:highlight w:val="none"/>
          <w:lang w:val="en-US" w:eastAsia="zh-CN"/>
        </w:rPr>
      </w:pPr>
      <w:r>
        <w:rPr>
          <w:rFonts w:hint="eastAsia" w:ascii="黑体" w:eastAsia="黑体"/>
          <w:sz w:val="32"/>
          <w:szCs w:val="32"/>
          <w:highlight w:val="none"/>
          <w:lang w:val="en-US" w:eastAsia="zh-CN"/>
        </w:rPr>
        <w:t>七、特殊事项说明</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default" w:ascii="仿宋_GB2312" w:eastAsia="仿宋_GB2312"/>
          <w:b/>
          <w:bCs/>
          <w:sz w:val="32"/>
          <w:szCs w:val="32"/>
          <w:highlight w:val="none"/>
          <w:lang w:val="en-US" w:eastAsia="zh-CN"/>
        </w:rPr>
      </w:pPr>
      <w:r>
        <w:rPr>
          <w:rFonts w:hint="eastAsia" w:ascii="仿宋_GB2312" w:eastAsia="仿宋_GB2312"/>
          <w:sz w:val="32"/>
          <w:szCs w:val="32"/>
          <w:highlight w:val="none"/>
          <w:lang w:val="en-US" w:eastAsia="zh-CN"/>
        </w:rPr>
        <w:t>根据国家保密法律法规和有关保密事项范围的规定，部分涉密事项在预算公开中予以剔除。</w:t>
      </w:r>
    </w:p>
    <w:p>
      <w:pPr>
        <w:spacing w:line="580" w:lineRule="exact"/>
        <w:ind w:firstLine="600"/>
        <w:rPr>
          <w:rFonts w:ascii="仿宋_GB2312" w:eastAsia="仿宋_GB2312"/>
          <w:sz w:val="32"/>
          <w:szCs w:val="32"/>
          <w:highlight w:val="none"/>
        </w:rPr>
      </w:pPr>
    </w:p>
    <w:p>
      <w:pPr>
        <w:rPr>
          <w:rFonts w:ascii="黑体" w:eastAsia="黑体"/>
          <w:b/>
          <w:sz w:val="52"/>
          <w:szCs w:val="52"/>
          <w:highlight w:val="none"/>
        </w:rPr>
      </w:pPr>
      <w:r>
        <w:rPr>
          <w:rFonts w:ascii="黑体" w:eastAsia="黑体"/>
          <w:b/>
          <w:sz w:val="52"/>
          <w:szCs w:val="52"/>
          <w:highlight w:val="none"/>
        </w:rPr>
        <w:br w:type="page"/>
      </w:r>
    </w:p>
    <w:p>
      <w:pPr>
        <w:rPr>
          <w:rFonts w:ascii="黑体" w:eastAsia="黑体"/>
          <w:sz w:val="52"/>
          <w:szCs w:val="52"/>
          <w:highlight w:val="none"/>
        </w:rPr>
      </w:pPr>
      <w:r>
        <w:rPr>
          <w:rFonts w:hint="eastAsia" w:ascii="黑体" w:eastAsia="黑体"/>
          <w:sz w:val="52"/>
          <w:szCs w:val="52"/>
          <w:highlight w:val="none"/>
        </w:rPr>
        <w:t>第四部分</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r>
        <w:rPr>
          <w:rFonts w:hint="eastAsia" w:ascii="黑体" w:eastAsia="黑体"/>
          <w:sz w:val="52"/>
          <w:szCs w:val="52"/>
          <w:highlight w:val="none"/>
        </w:rPr>
        <w:t>名词解释</w:t>
      </w:r>
    </w:p>
    <w:p>
      <w:pPr>
        <w:rPr>
          <w:rFonts w:ascii="黑体" w:hAnsi="黑体" w:eastAsia="黑体"/>
          <w:sz w:val="32"/>
          <w:szCs w:val="32"/>
          <w:highlight w:val="none"/>
        </w:rPr>
      </w:pPr>
      <w:r>
        <w:rPr>
          <w:rFonts w:hint="eastAsia" w:ascii="黑体" w:hAnsi="黑体" w:eastAsia="黑体"/>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一、财政拨款收入：</w:t>
      </w:r>
      <w:r>
        <w:rPr>
          <w:rFonts w:hint="eastAsia" w:ascii="仿宋_GB2312" w:eastAsia="仿宋_GB2312"/>
          <w:sz w:val="32"/>
          <w:szCs w:val="32"/>
          <w:highlight w:val="none"/>
        </w:rPr>
        <w:t>指由</w:t>
      </w:r>
      <w:r>
        <w:rPr>
          <w:rFonts w:hint="eastAsia" w:ascii="仿宋_GB2312" w:eastAsia="仿宋_GB2312"/>
          <w:sz w:val="32"/>
          <w:szCs w:val="32"/>
          <w:highlight w:val="none"/>
          <w:lang w:eastAsia="zh-CN"/>
        </w:rPr>
        <w:t>市级</w:t>
      </w:r>
      <w:r>
        <w:rPr>
          <w:rFonts w:hint="eastAsia" w:ascii="仿宋_GB2312" w:eastAsia="仿宋_GB2312"/>
          <w:sz w:val="32"/>
          <w:szCs w:val="32"/>
          <w:highlight w:val="none"/>
        </w:rPr>
        <w:t>财政拨款形成的部门收入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包括一般公共预算拨款</w:t>
      </w:r>
      <w:r>
        <w:rPr>
          <w:rFonts w:hint="eastAsia" w:ascii="仿宋_GB2312" w:eastAsia="仿宋_GB2312"/>
          <w:sz w:val="32"/>
          <w:szCs w:val="32"/>
          <w:highlight w:val="none"/>
          <w:lang w:val="en-US" w:eastAsia="zh-CN"/>
        </w:rPr>
        <w:t>收入</w:t>
      </w:r>
      <w:r>
        <w:rPr>
          <w:rFonts w:hint="eastAsia" w:ascii="仿宋_GB2312" w:eastAsia="仿宋_GB2312"/>
          <w:sz w:val="32"/>
          <w:szCs w:val="32"/>
          <w:highlight w:val="none"/>
        </w:rPr>
        <w:t>、政府性基金预算拨款</w:t>
      </w:r>
      <w:r>
        <w:rPr>
          <w:rFonts w:hint="eastAsia" w:ascii="仿宋_GB2312" w:eastAsia="仿宋_GB2312"/>
          <w:sz w:val="32"/>
          <w:szCs w:val="32"/>
          <w:highlight w:val="none"/>
          <w:lang w:val="en-US" w:eastAsia="zh-CN"/>
        </w:rPr>
        <w:t>收入</w:t>
      </w:r>
      <w:r>
        <w:rPr>
          <w:rFonts w:hint="eastAsia" w:ascii="仿宋_GB2312" w:eastAsia="仿宋_GB2312"/>
          <w:sz w:val="32"/>
          <w:szCs w:val="32"/>
          <w:highlight w:val="none"/>
        </w:rPr>
        <w:t>和国有资本经营预算拨款</w:t>
      </w:r>
      <w:r>
        <w:rPr>
          <w:rFonts w:hint="eastAsia" w:ascii="仿宋_GB2312" w:eastAsia="仿宋_GB2312"/>
          <w:sz w:val="32"/>
          <w:szCs w:val="32"/>
          <w:highlight w:val="none"/>
          <w:lang w:val="en-US" w:eastAsia="zh-CN"/>
        </w:rPr>
        <w:t>收入</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二、财政专户管理资金</w:t>
      </w:r>
      <w:r>
        <w:rPr>
          <w:rFonts w:hint="eastAsia" w:ascii="仿宋_GB2312" w:eastAsia="仿宋_GB2312"/>
          <w:sz w:val="32"/>
          <w:szCs w:val="32"/>
          <w:highlight w:val="none"/>
        </w:rPr>
        <w:t>：指缴入财政专户、实行专项管理的高中以上学费、住宿费、高校委托培养费、函大、电大、夜大及短训班培训费等教育收费。</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r>
        <w:rPr>
          <w:rFonts w:hint="eastAsia" w:ascii="黑体" w:hAnsi="黑体" w:eastAsia="黑体"/>
          <w:sz w:val="32"/>
          <w:szCs w:val="32"/>
          <w:highlight w:val="none"/>
        </w:rPr>
        <w:t>三、事业收入：</w:t>
      </w:r>
      <w:r>
        <w:rPr>
          <w:rFonts w:hint="eastAsia" w:ascii="仿宋_GB2312" w:eastAsia="仿宋_GB2312"/>
          <w:sz w:val="32"/>
          <w:szCs w:val="32"/>
          <w:highlight w:val="none"/>
        </w:rPr>
        <w:t>指事业单位开展专业业务活动及辅助活动所取得的收入，不含纳入财政专户管理的教育收费。</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r>
        <w:rPr>
          <w:rFonts w:hint="eastAsia" w:ascii="黑体" w:hAnsi="黑体" w:eastAsia="黑体"/>
          <w:sz w:val="32"/>
          <w:szCs w:val="32"/>
          <w:highlight w:val="none"/>
        </w:rPr>
        <w:t>四、事业单位经营收入：</w:t>
      </w:r>
      <w:r>
        <w:rPr>
          <w:rFonts w:hint="eastAsia" w:ascii="仿宋_GB2312" w:eastAsia="仿宋_GB2312"/>
          <w:sz w:val="32"/>
          <w:szCs w:val="32"/>
          <w:highlight w:val="none"/>
        </w:rPr>
        <w:t>指事业单位在专业业务活动及其辅助活动之外开展非独立核算经营活动取得的收入。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default" w:ascii="仿宋_GB2312" w:eastAsia="仿宋_GB2312"/>
          <w:sz w:val="32"/>
          <w:szCs w:val="32"/>
          <w:highlight w:val="none"/>
          <w:lang w:val="en-US" w:eastAsia="zh-CN"/>
        </w:rPr>
      </w:pPr>
      <w:r>
        <w:rPr>
          <w:rFonts w:hint="eastAsia" w:ascii="黑体" w:hAnsi="黑体" w:eastAsia="黑体"/>
          <w:sz w:val="32"/>
          <w:szCs w:val="32"/>
          <w:highlight w:val="none"/>
        </w:rPr>
        <w:t>五、其他收入：</w:t>
      </w:r>
      <w:r>
        <w:rPr>
          <w:rFonts w:hint="eastAsia" w:ascii="仿宋_GB2312" w:eastAsia="仿宋_GB2312"/>
          <w:sz w:val="32"/>
          <w:szCs w:val="32"/>
          <w:highlight w:val="none"/>
        </w:rPr>
        <w:t>指除“财政拨款收入”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财政专户管理资金</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“事业收入”“事业单位经营收入”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上级补助收入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附属单位上缴收入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等以外的收入。</w:t>
      </w:r>
      <w:r>
        <w:rPr>
          <w:rFonts w:hint="eastAsia" w:ascii="仿宋_GB2312" w:eastAsia="仿宋_GB2312"/>
          <w:sz w:val="32"/>
          <w:szCs w:val="32"/>
          <w:highlight w:val="none"/>
          <w:lang w:val="en-US" w:eastAsia="zh-CN"/>
        </w:rPr>
        <w:t>主要包括利息存款收入、事业单位固定资产出租收入等。</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六、上级补助收入：</w:t>
      </w:r>
      <w:r>
        <w:rPr>
          <w:rFonts w:hint="eastAsia" w:ascii="仿宋_GB2312" w:eastAsia="仿宋_GB2312"/>
          <w:sz w:val="32"/>
          <w:szCs w:val="32"/>
          <w:highlight w:val="none"/>
        </w:rPr>
        <w:t>指单位从主管部门和上级单位取得的非财政补助收入。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七、附属单位上缴收入：</w:t>
      </w:r>
      <w:r>
        <w:rPr>
          <w:rFonts w:hint="eastAsia" w:ascii="仿宋_GB2312" w:eastAsia="仿宋_GB2312"/>
          <w:sz w:val="32"/>
          <w:szCs w:val="32"/>
          <w:highlight w:val="none"/>
        </w:rPr>
        <w:t>指本</w:t>
      </w:r>
      <w:r>
        <w:rPr>
          <w:rFonts w:hint="eastAsia" w:ascii="仿宋_GB2312" w:eastAsia="仿宋_GB2312"/>
          <w:sz w:val="32"/>
          <w:szCs w:val="32"/>
          <w:highlight w:val="none"/>
          <w:lang w:val="en-US" w:eastAsia="zh-CN"/>
        </w:rPr>
        <w:t>单位</w:t>
      </w:r>
      <w:r>
        <w:rPr>
          <w:rFonts w:hint="eastAsia" w:ascii="仿宋_GB2312" w:eastAsia="仿宋_GB2312"/>
          <w:sz w:val="32"/>
          <w:szCs w:val="32"/>
          <w:highlight w:val="none"/>
        </w:rPr>
        <w:t>所属纳入部门预算编报范围的单位按有关规定上缴的收入。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八、使用非财政拨款结余：</w:t>
      </w:r>
      <w:r>
        <w:rPr>
          <w:rFonts w:hint="eastAsia" w:ascii="仿宋_GB2312" w:eastAsia="仿宋_GB2312"/>
          <w:sz w:val="32"/>
          <w:szCs w:val="32"/>
          <w:highlight w:val="none"/>
        </w:rPr>
        <w:t>指本</w:t>
      </w:r>
      <w:r>
        <w:rPr>
          <w:rFonts w:hint="eastAsia" w:ascii="仿宋_GB2312" w:eastAsia="仿宋_GB2312"/>
          <w:sz w:val="32"/>
          <w:szCs w:val="32"/>
          <w:highlight w:val="none"/>
          <w:lang w:val="en-US" w:eastAsia="zh-CN"/>
        </w:rPr>
        <w:t>单位</w:t>
      </w:r>
      <w:r>
        <w:rPr>
          <w:rFonts w:hint="eastAsia" w:ascii="仿宋_GB2312" w:eastAsia="仿宋_GB2312"/>
          <w:sz w:val="32"/>
          <w:szCs w:val="32"/>
          <w:highlight w:val="none"/>
        </w:rPr>
        <w:t>在预计用当年的“财政拨款收入”“财政专户管理资金收入”“事业收入”“事业单位经营收入”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上级补助收入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附属单位上缴收入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“其他收入”等不足以安排当年支出的情况下，使用以前年度积累结余弥补本年度收支缺口的资金。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九、上年结转：</w:t>
      </w:r>
      <w:r>
        <w:rPr>
          <w:rFonts w:hint="eastAsia" w:ascii="仿宋_GB2312" w:eastAsia="仿宋_GB2312"/>
          <w:sz w:val="32"/>
          <w:szCs w:val="32"/>
          <w:highlight w:val="none"/>
        </w:rPr>
        <w:t>指以前年度尚未完成、结转到本年仍按原规定用途继续使用的资金。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十、基本支出：</w:t>
      </w:r>
      <w:r>
        <w:rPr>
          <w:rFonts w:hint="eastAsia" w:ascii="仿宋_GB2312" w:eastAsia="仿宋_GB2312"/>
          <w:sz w:val="32"/>
          <w:szCs w:val="32"/>
          <w:highlight w:val="none"/>
        </w:rPr>
        <w:t>指为保障机构正常运转、完成日常工作任务而发生的人员支出和日常公用支出。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十一、项目支出：</w:t>
      </w:r>
      <w:r>
        <w:rPr>
          <w:rFonts w:hint="eastAsia" w:ascii="仿宋_GB2312" w:eastAsia="仿宋_GB2312"/>
          <w:sz w:val="32"/>
          <w:szCs w:val="32"/>
          <w:highlight w:val="none"/>
        </w:rPr>
        <w:t>指在基本支出之外为完成特定任务和事业发展目标所发生的支出。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黑体" w:hAnsi="黑体" w:eastAsia="黑体"/>
          <w:sz w:val="32"/>
          <w:szCs w:val="32"/>
          <w:highlight w:val="none"/>
        </w:rPr>
      </w:pPr>
      <w:r>
        <w:rPr>
          <w:rFonts w:hint="eastAsia" w:ascii="黑体" w:hAnsi="黑体" w:eastAsia="黑体"/>
          <w:sz w:val="32"/>
          <w:szCs w:val="32"/>
          <w:highlight w:val="none"/>
        </w:rPr>
        <w:t>十二、上缴上级支出：</w:t>
      </w:r>
      <w:r>
        <w:rPr>
          <w:rFonts w:hint="eastAsia" w:ascii="仿宋_GB2312" w:eastAsia="仿宋_GB2312"/>
          <w:sz w:val="32"/>
          <w:szCs w:val="32"/>
          <w:highlight w:val="none"/>
        </w:rPr>
        <w:t>指下级单位上缴上级的支出。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十三、事业单位经营支出：</w:t>
      </w:r>
      <w:r>
        <w:rPr>
          <w:rFonts w:hint="eastAsia" w:ascii="仿宋_GB2312" w:eastAsia="仿宋_GB2312"/>
          <w:sz w:val="32"/>
          <w:szCs w:val="32"/>
          <w:highlight w:val="none"/>
        </w:rPr>
        <w:t>指事业单位在专业业务活动及其辅助活动之外开展非独立核算经营活动发生的支出。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十四、对下级单位补助支出：</w:t>
      </w:r>
      <w:r>
        <w:rPr>
          <w:rFonts w:hint="eastAsia" w:ascii="仿宋_GB2312" w:eastAsia="仿宋_GB2312"/>
          <w:sz w:val="32"/>
          <w:szCs w:val="32"/>
          <w:highlight w:val="none"/>
        </w:rPr>
        <w:t>指对下级单位补助发生的支出。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十五、结转下年</w:t>
      </w:r>
      <w:r>
        <w:rPr>
          <w:rFonts w:hint="eastAsia" w:ascii="仿宋_GB2312" w:eastAsia="仿宋_GB2312"/>
          <w:sz w:val="32"/>
          <w:szCs w:val="32"/>
          <w:highlight w:val="none"/>
        </w:rPr>
        <w:t>：指以前年度预算安排、因客观条件发生变化无法按原计划实施，需延迟到以后年度按原规定用途继续使用的资金。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十六、“三公”经费：</w:t>
      </w:r>
      <w:r>
        <w:rPr>
          <w:rFonts w:hint="eastAsia" w:ascii="仿宋_GB2312" w:eastAsia="仿宋_GB2312"/>
          <w:sz w:val="32"/>
          <w:szCs w:val="32"/>
          <w:highlight w:val="none"/>
        </w:rPr>
        <w:t>指</w:t>
      </w:r>
      <w:r>
        <w:rPr>
          <w:rFonts w:hint="eastAsia" w:ascii="仿宋_GB2312" w:eastAsia="仿宋_GB2312"/>
          <w:sz w:val="32"/>
          <w:szCs w:val="32"/>
          <w:highlight w:val="none"/>
          <w:lang w:eastAsia="zh-CN"/>
        </w:rPr>
        <w:t>市级</w:t>
      </w:r>
      <w:r>
        <w:rPr>
          <w:rFonts w:hint="eastAsia" w:ascii="仿宋_GB2312" w:eastAsia="仿宋_GB2312"/>
          <w:sz w:val="32"/>
          <w:szCs w:val="32"/>
          <w:highlight w:val="none"/>
        </w:rPr>
        <w:t>部门</w:t>
      </w:r>
      <w:r>
        <w:rPr>
          <w:rFonts w:hint="eastAsia" w:ascii="仿宋_GB2312" w:eastAsia="仿宋_GB2312"/>
          <w:sz w:val="32"/>
          <w:szCs w:val="32"/>
          <w:highlight w:val="none"/>
          <w:lang w:val="en-US" w:eastAsia="zh-CN"/>
        </w:rPr>
        <w:t>单位</w:t>
      </w:r>
      <w:r>
        <w:rPr>
          <w:rFonts w:hint="eastAsia" w:ascii="仿宋_GB2312" w:eastAsia="仿宋_GB2312"/>
          <w:sz w:val="32"/>
          <w:szCs w:val="32"/>
          <w:highlight w:val="none"/>
        </w:rPr>
        <w:t>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燃料费、维修费、过路过桥费、保险费、安全奖励费用等支出；公务接待费反映单位按规定开支的各类接待（含外宾接待）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r>
        <w:rPr>
          <w:rFonts w:hint="eastAsia" w:ascii="黑体" w:hAnsi="黑体" w:eastAsia="黑体"/>
          <w:sz w:val="32"/>
          <w:szCs w:val="32"/>
          <w:highlight w:val="none"/>
        </w:rPr>
        <w:t>十七、机关运行经费：</w:t>
      </w:r>
      <w:r>
        <w:rPr>
          <w:rFonts w:hint="eastAsia" w:ascii="仿宋_GB2312" w:eastAsia="仿宋_GB2312"/>
          <w:sz w:val="32"/>
          <w:szCs w:val="32"/>
          <w:highlight w:val="none"/>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80" w:lineRule="exact"/>
        <w:ind w:firstLine="600"/>
        <w:rPr>
          <w:rFonts w:hint="eastAsia" w:ascii="仿宋" w:hAnsi="仿宋" w:eastAsia="仿宋"/>
          <w:sz w:val="32"/>
          <w:szCs w:val="32"/>
          <w:highlight w:val="none"/>
        </w:rPr>
      </w:pPr>
      <w:r>
        <w:rPr>
          <w:rFonts w:hint="eastAsia" w:ascii="黑体" w:hAnsi="黑体" w:eastAsia="黑体" w:cs="黑体"/>
          <w:sz w:val="32"/>
          <w:szCs w:val="32"/>
          <w:highlight w:val="none"/>
          <w:lang w:eastAsia="zh-CN"/>
        </w:rPr>
        <w:t>十八、</w:t>
      </w:r>
      <w:r>
        <w:rPr>
          <w:rFonts w:hint="eastAsia" w:ascii="黑体" w:hAnsi="黑体" w:eastAsia="黑体"/>
          <w:sz w:val="32"/>
          <w:szCs w:val="32"/>
          <w:highlight w:val="none"/>
        </w:rPr>
        <w:t>一般公共服务（类）统战事务（款）行政运行（项）：</w:t>
      </w:r>
      <w:r>
        <w:rPr>
          <w:rFonts w:hint="eastAsia" w:ascii="仿宋" w:hAnsi="仿宋" w:eastAsia="仿宋"/>
          <w:sz w:val="32"/>
          <w:szCs w:val="32"/>
          <w:highlight w:val="none"/>
        </w:rPr>
        <w:t>指威海市委统战部机关用于保障机构正常运行、开展日常工作</w:t>
      </w:r>
      <w:r>
        <w:rPr>
          <w:rFonts w:hint="eastAsia" w:ascii="仿宋" w:hAnsi="仿宋" w:eastAsia="仿宋"/>
          <w:sz w:val="32"/>
          <w:szCs w:val="32"/>
          <w:highlight w:val="none"/>
          <w:lang w:eastAsia="zh-CN"/>
        </w:rPr>
        <w:t>的</w:t>
      </w:r>
      <w:r>
        <w:rPr>
          <w:rFonts w:hint="eastAsia" w:ascii="仿宋" w:hAnsi="仿宋" w:eastAsia="仿宋"/>
          <w:sz w:val="32"/>
          <w:szCs w:val="32"/>
          <w:highlight w:val="none"/>
        </w:rPr>
        <w:t>人员经费和公用经费支出。</w:t>
      </w:r>
    </w:p>
    <w:p>
      <w:pPr>
        <w:spacing w:line="580" w:lineRule="exact"/>
        <w:ind w:firstLine="600"/>
        <w:rPr>
          <w:rFonts w:hint="eastAsia" w:ascii="仿宋" w:hAnsi="仿宋" w:eastAsia="仿宋"/>
          <w:sz w:val="32"/>
          <w:szCs w:val="32"/>
          <w:highlight w:val="none"/>
        </w:rPr>
      </w:pPr>
      <w:r>
        <w:rPr>
          <w:rFonts w:hint="eastAsia" w:ascii="黑体" w:hAnsi="黑体" w:eastAsia="黑体" w:cs="黑体"/>
          <w:sz w:val="32"/>
          <w:szCs w:val="32"/>
          <w:highlight w:val="none"/>
          <w:lang w:eastAsia="zh-CN"/>
        </w:rPr>
        <w:t>十九</w:t>
      </w:r>
      <w:r>
        <w:rPr>
          <w:rFonts w:hint="eastAsia" w:ascii="仿宋" w:hAnsi="仿宋" w:eastAsia="仿宋"/>
          <w:sz w:val="32"/>
          <w:szCs w:val="32"/>
          <w:highlight w:val="none"/>
          <w:lang w:eastAsia="zh-CN"/>
        </w:rPr>
        <w:t>、</w:t>
      </w:r>
      <w:r>
        <w:rPr>
          <w:rFonts w:hint="eastAsia" w:ascii="黑体" w:hAnsi="黑体" w:eastAsia="黑体"/>
          <w:sz w:val="32"/>
          <w:szCs w:val="32"/>
          <w:highlight w:val="none"/>
        </w:rPr>
        <w:t>社会保障和就业（类）其他社会保障和就业（款）其他社会保障和就业支出（项）：</w:t>
      </w:r>
      <w:r>
        <w:rPr>
          <w:rFonts w:hint="eastAsia" w:ascii="仿宋" w:hAnsi="仿宋" w:eastAsia="仿宋"/>
          <w:sz w:val="32"/>
          <w:szCs w:val="32"/>
          <w:highlight w:val="none"/>
        </w:rPr>
        <w:t>指威海市委统战部机关缴纳的职工工伤保险、失业保险支出。</w:t>
      </w:r>
    </w:p>
    <w:p>
      <w:pPr>
        <w:spacing w:line="580" w:lineRule="exact"/>
        <w:ind w:firstLine="600"/>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二十、</w:t>
      </w:r>
      <w:r>
        <w:rPr>
          <w:rFonts w:hint="eastAsia" w:ascii="黑体" w:hAnsi="黑体" w:eastAsia="黑体"/>
          <w:sz w:val="32"/>
          <w:szCs w:val="32"/>
          <w:highlight w:val="none"/>
          <w:lang w:eastAsia="zh-CN"/>
        </w:rPr>
        <w:t>卫生健康支出</w:t>
      </w:r>
      <w:r>
        <w:rPr>
          <w:rFonts w:hint="eastAsia" w:ascii="黑体" w:hAnsi="黑体" w:eastAsia="黑体"/>
          <w:sz w:val="32"/>
          <w:szCs w:val="32"/>
          <w:highlight w:val="none"/>
        </w:rPr>
        <w:t>（类）行政事业单位医疗（款）行政单位医疗（项）：</w:t>
      </w:r>
      <w:r>
        <w:rPr>
          <w:rFonts w:hint="eastAsia" w:ascii="仿宋" w:hAnsi="仿宋" w:eastAsia="仿宋"/>
          <w:sz w:val="32"/>
          <w:szCs w:val="32"/>
          <w:highlight w:val="none"/>
        </w:rPr>
        <w:t>指威海市委统战部机关缴纳的职工医疗保险支出。</w:t>
      </w:r>
    </w:p>
    <w:p>
      <w:pPr>
        <w:spacing w:line="580" w:lineRule="exact"/>
        <w:ind w:firstLine="640" w:firstLineChars="200"/>
        <w:rPr>
          <w:rFonts w:hint="eastAsia" w:ascii="仿宋" w:hAnsi="仿宋" w:eastAsia="仿宋"/>
          <w:sz w:val="32"/>
          <w:szCs w:val="32"/>
          <w:highlight w:val="none"/>
        </w:rPr>
      </w:pPr>
      <w:r>
        <w:rPr>
          <w:rFonts w:hint="eastAsia" w:ascii="黑体" w:hAnsi="黑体" w:eastAsia="黑体" w:cs="黑体"/>
          <w:sz w:val="32"/>
          <w:szCs w:val="32"/>
          <w:highlight w:val="none"/>
          <w:lang w:eastAsia="zh-CN"/>
        </w:rPr>
        <w:t>二十一、</w:t>
      </w:r>
      <w:r>
        <w:rPr>
          <w:rFonts w:hint="eastAsia" w:ascii="黑体" w:hAnsi="黑体" w:eastAsia="黑体"/>
          <w:color w:val="000000"/>
          <w:sz w:val="32"/>
          <w:szCs w:val="32"/>
          <w:highlight w:val="none"/>
          <w:lang w:eastAsia="zh-CN"/>
        </w:rPr>
        <w:t>卫生健康支出</w:t>
      </w:r>
      <w:r>
        <w:rPr>
          <w:rFonts w:hint="eastAsia" w:ascii="黑体" w:hAnsi="黑体" w:eastAsia="黑体"/>
          <w:color w:val="000000"/>
          <w:sz w:val="32"/>
          <w:szCs w:val="32"/>
          <w:highlight w:val="none"/>
        </w:rPr>
        <w:t>（类）行政事业单位医疗（款）公务员医疗补助（项）：</w:t>
      </w:r>
      <w:r>
        <w:rPr>
          <w:rFonts w:hint="eastAsia" w:ascii="仿宋" w:hAnsi="仿宋" w:eastAsia="仿宋"/>
          <w:sz w:val="32"/>
          <w:szCs w:val="32"/>
          <w:highlight w:val="none"/>
        </w:rPr>
        <w:t>指威海市委统战部机关缴纳</w:t>
      </w:r>
      <w:r>
        <w:rPr>
          <w:rFonts w:hint="eastAsia" w:ascii="仿宋" w:hAnsi="仿宋" w:eastAsia="仿宋"/>
          <w:sz w:val="32"/>
          <w:szCs w:val="32"/>
          <w:highlight w:val="none"/>
          <w:lang w:eastAsia="zh-CN"/>
        </w:rPr>
        <w:t>的</w:t>
      </w:r>
      <w:r>
        <w:rPr>
          <w:rFonts w:hint="eastAsia" w:ascii="仿宋" w:hAnsi="仿宋" w:eastAsia="仿宋"/>
          <w:sz w:val="32"/>
          <w:szCs w:val="32"/>
          <w:highlight w:val="none"/>
        </w:rPr>
        <w:t>公务员医疗补助保险支出。</w:t>
      </w:r>
    </w:p>
    <w:p>
      <w:pPr>
        <w:spacing w:line="580" w:lineRule="exact"/>
        <w:ind w:left="958" w:leftChars="304" w:hanging="320" w:hangingChars="100"/>
        <w:rPr>
          <w:rFonts w:hint="eastAsia" w:ascii="黑体" w:hAnsi="黑体" w:eastAsia="黑体"/>
          <w:sz w:val="32"/>
          <w:szCs w:val="32"/>
          <w:highlight w:val="none"/>
        </w:rPr>
      </w:pPr>
      <w:r>
        <w:rPr>
          <w:rFonts w:hint="eastAsia" w:ascii="黑体" w:hAnsi="黑体" w:eastAsia="黑体" w:cs="黑体"/>
          <w:sz w:val="32"/>
          <w:szCs w:val="32"/>
          <w:highlight w:val="none"/>
          <w:lang w:eastAsia="zh-CN"/>
        </w:rPr>
        <w:t>二十二、</w:t>
      </w:r>
      <w:r>
        <w:rPr>
          <w:rFonts w:hint="eastAsia" w:ascii="黑体" w:hAnsi="黑体" w:eastAsia="黑体"/>
          <w:sz w:val="32"/>
          <w:szCs w:val="32"/>
          <w:highlight w:val="none"/>
        </w:rPr>
        <w:t>住房保障（类）住房改革（款）住房公积金</w:t>
      </w:r>
    </w:p>
    <w:p>
      <w:pPr>
        <w:spacing w:line="580" w:lineRule="exact"/>
        <w:ind w:left="958" w:leftChars="304" w:hanging="320" w:hangingChars="100"/>
        <w:jc w:val="left"/>
        <w:rPr>
          <w:rFonts w:ascii="仿宋" w:hAnsi="仿宋" w:eastAsia="仿宋"/>
          <w:sz w:val="32"/>
          <w:szCs w:val="32"/>
          <w:highlight w:val="none"/>
        </w:rPr>
      </w:pPr>
      <w:r>
        <w:rPr>
          <w:rFonts w:hint="eastAsia" w:ascii="仿宋" w:hAnsi="仿宋" w:eastAsia="仿宋"/>
          <w:sz w:val="32"/>
          <w:szCs w:val="32"/>
          <w:highlight w:val="none"/>
        </w:rPr>
        <w:t>指威海市委统战部机关缴纳的职工住房公积金支出。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b/>
          <w:sz w:val="32"/>
          <w:szCs w:val="32"/>
          <w:highlight w:val="none"/>
        </w:rPr>
      </w:pPr>
    </w:p>
    <w:sectPr>
      <w:pgSz w:w="11906" w:h="16838"/>
      <w:pgMar w:top="2041" w:right="1701" w:bottom="2041" w:left="170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Tahoma">
    <w:altName w:val="DejaVu Sans"/>
    <w:panose1 w:val="020B0604030504040204"/>
    <w:charset w:val="00"/>
    <w:family w:val="swiss"/>
    <w:pitch w:val="default"/>
    <w:sig w:usb0="00000000" w:usb1="00000000" w:usb2="00000008" w:usb3="00000000" w:csb0="200101FF" w:csb1="20280000"/>
  </w:font>
  <w:font w:name="Verdana">
    <w:altName w:val="DejaVu Sans"/>
    <w:panose1 w:val="020B0604030504040204"/>
    <w:charset w:val="00"/>
    <w:family w:val="swiss"/>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rStyle w:val="10"/>
        <w:rFonts w:hint="eastAsia"/>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9</w:t>
    </w:r>
    <w:r>
      <w:rPr>
        <w:sz w:val="24"/>
        <w:szCs w:val="24"/>
      </w:rPr>
      <w:fldChar w:fldCharType="end"/>
    </w:r>
    <w:r>
      <w:rPr>
        <w:rFonts w:hint="eastAsia"/>
        <w:sz w:val="24"/>
        <w:szCs w:val="24"/>
      </w:rPr>
      <w:t xml:space="preserve"> </w:t>
    </w:r>
    <w:r>
      <w:rPr>
        <w:rStyle w:val="10"/>
        <w:rFonts w:hint="eastAsia"/>
        <w:sz w:val="24"/>
        <w:szCs w:val="24"/>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fldChar w:fldCharType="begin"/>
    </w:r>
    <w:r>
      <w:rPr>
        <w:rStyle w:val="10"/>
      </w:rPr>
      <w:instrText xml:space="preserve">PAGE  </w:instrText>
    </w:r>
    <w: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37A964"/>
    <w:multiLevelType w:val="singleLevel"/>
    <w:tmpl w:val="E737A96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mZTZjMTUxOTc5NmRkNzE1OTI0M2E2NmY1NDMwZTkifQ=="/>
  </w:docVars>
  <w:rsids>
    <w:rsidRoot w:val="00172A27"/>
    <w:rsid w:val="0001008A"/>
    <w:rsid w:val="00010673"/>
    <w:rsid w:val="00011C7A"/>
    <w:rsid w:val="00022AAD"/>
    <w:rsid w:val="00023625"/>
    <w:rsid w:val="00030882"/>
    <w:rsid w:val="00054C69"/>
    <w:rsid w:val="000554CC"/>
    <w:rsid w:val="0005742A"/>
    <w:rsid w:val="00075A6F"/>
    <w:rsid w:val="00076236"/>
    <w:rsid w:val="00081D39"/>
    <w:rsid w:val="000A703B"/>
    <w:rsid w:val="000B54D1"/>
    <w:rsid w:val="000C3779"/>
    <w:rsid w:val="000C5088"/>
    <w:rsid w:val="000E4BB7"/>
    <w:rsid w:val="000F1C1C"/>
    <w:rsid w:val="000F26CD"/>
    <w:rsid w:val="001058DE"/>
    <w:rsid w:val="00125875"/>
    <w:rsid w:val="00144AE4"/>
    <w:rsid w:val="00157BE7"/>
    <w:rsid w:val="00164920"/>
    <w:rsid w:val="00172A27"/>
    <w:rsid w:val="00174DB6"/>
    <w:rsid w:val="00192758"/>
    <w:rsid w:val="001936DE"/>
    <w:rsid w:val="001A66D1"/>
    <w:rsid w:val="001A6D02"/>
    <w:rsid w:val="001A7F8B"/>
    <w:rsid w:val="001B7F02"/>
    <w:rsid w:val="001C3983"/>
    <w:rsid w:val="001D0BE4"/>
    <w:rsid w:val="001D1EE8"/>
    <w:rsid w:val="001E2FB2"/>
    <w:rsid w:val="001E40F8"/>
    <w:rsid w:val="001E5997"/>
    <w:rsid w:val="001E6045"/>
    <w:rsid w:val="0020356F"/>
    <w:rsid w:val="00210987"/>
    <w:rsid w:val="0023161F"/>
    <w:rsid w:val="00246875"/>
    <w:rsid w:val="00252E84"/>
    <w:rsid w:val="00281CB7"/>
    <w:rsid w:val="002911CA"/>
    <w:rsid w:val="002C146D"/>
    <w:rsid w:val="002C2328"/>
    <w:rsid w:val="002C3125"/>
    <w:rsid w:val="002D6A50"/>
    <w:rsid w:val="002E44DB"/>
    <w:rsid w:val="002F70B0"/>
    <w:rsid w:val="00300F0C"/>
    <w:rsid w:val="00307AD7"/>
    <w:rsid w:val="00320249"/>
    <w:rsid w:val="00326BEE"/>
    <w:rsid w:val="00333CC4"/>
    <w:rsid w:val="00344896"/>
    <w:rsid w:val="00357493"/>
    <w:rsid w:val="0036153A"/>
    <w:rsid w:val="00362E74"/>
    <w:rsid w:val="00375DFB"/>
    <w:rsid w:val="00377C97"/>
    <w:rsid w:val="00382B98"/>
    <w:rsid w:val="003917E8"/>
    <w:rsid w:val="00396A7C"/>
    <w:rsid w:val="00396E9A"/>
    <w:rsid w:val="003B12A8"/>
    <w:rsid w:val="003B5303"/>
    <w:rsid w:val="003C1F30"/>
    <w:rsid w:val="003E270E"/>
    <w:rsid w:val="003E7E61"/>
    <w:rsid w:val="003F19BA"/>
    <w:rsid w:val="003F51F9"/>
    <w:rsid w:val="0040574B"/>
    <w:rsid w:val="00410076"/>
    <w:rsid w:val="00413E62"/>
    <w:rsid w:val="00433164"/>
    <w:rsid w:val="00443B37"/>
    <w:rsid w:val="004463D0"/>
    <w:rsid w:val="004535AF"/>
    <w:rsid w:val="004561C5"/>
    <w:rsid w:val="00456274"/>
    <w:rsid w:val="00456E33"/>
    <w:rsid w:val="00457A00"/>
    <w:rsid w:val="00464A5A"/>
    <w:rsid w:val="00482FA0"/>
    <w:rsid w:val="00491923"/>
    <w:rsid w:val="004B1D9B"/>
    <w:rsid w:val="004B4DEE"/>
    <w:rsid w:val="004B698B"/>
    <w:rsid w:val="004C01FE"/>
    <w:rsid w:val="004C0C5F"/>
    <w:rsid w:val="004C2244"/>
    <w:rsid w:val="004C6C96"/>
    <w:rsid w:val="004F1661"/>
    <w:rsid w:val="00513FB9"/>
    <w:rsid w:val="00523619"/>
    <w:rsid w:val="00526039"/>
    <w:rsid w:val="00532FF8"/>
    <w:rsid w:val="00537128"/>
    <w:rsid w:val="0054312E"/>
    <w:rsid w:val="0054525E"/>
    <w:rsid w:val="00564CF2"/>
    <w:rsid w:val="00565B9C"/>
    <w:rsid w:val="005672CA"/>
    <w:rsid w:val="005725DE"/>
    <w:rsid w:val="0057478D"/>
    <w:rsid w:val="00585B8E"/>
    <w:rsid w:val="00586C50"/>
    <w:rsid w:val="00595BAF"/>
    <w:rsid w:val="005A45F6"/>
    <w:rsid w:val="005A7973"/>
    <w:rsid w:val="005B4E3B"/>
    <w:rsid w:val="005C3F56"/>
    <w:rsid w:val="005C4097"/>
    <w:rsid w:val="005C6857"/>
    <w:rsid w:val="005D42DE"/>
    <w:rsid w:val="005E08E7"/>
    <w:rsid w:val="005E2CB9"/>
    <w:rsid w:val="005F2614"/>
    <w:rsid w:val="005F455B"/>
    <w:rsid w:val="005F4857"/>
    <w:rsid w:val="00601E54"/>
    <w:rsid w:val="00605FC9"/>
    <w:rsid w:val="0060682E"/>
    <w:rsid w:val="0061336E"/>
    <w:rsid w:val="00613717"/>
    <w:rsid w:val="006242FD"/>
    <w:rsid w:val="0062436A"/>
    <w:rsid w:val="00627600"/>
    <w:rsid w:val="00632F83"/>
    <w:rsid w:val="006367A4"/>
    <w:rsid w:val="00647B29"/>
    <w:rsid w:val="00651441"/>
    <w:rsid w:val="006568FE"/>
    <w:rsid w:val="006635EB"/>
    <w:rsid w:val="00663871"/>
    <w:rsid w:val="00666526"/>
    <w:rsid w:val="006714BD"/>
    <w:rsid w:val="00676A2F"/>
    <w:rsid w:val="00680289"/>
    <w:rsid w:val="00696318"/>
    <w:rsid w:val="006A3F79"/>
    <w:rsid w:val="006D088E"/>
    <w:rsid w:val="006F4CF8"/>
    <w:rsid w:val="00736447"/>
    <w:rsid w:val="007365A6"/>
    <w:rsid w:val="00740EB1"/>
    <w:rsid w:val="00743021"/>
    <w:rsid w:val="00753BBD"/>
    <w:rsid w:val="00766BC8"/>
    <w:rsid w:val="007714BA"/>
    <w:rsid w:val="00782C07"/>
    <w:rsid w:val="00786CB5"/>
    <w:rsid w:val="007918FF"/>
    <w:rsid w:val="007B2057"/>
    <w:rsid w:val="007B5C17"/>
    <w:rsid w:val="007B6487"/>
    <w:rsid w:val="007C3180"/>
    <w:rsid w:val="007C7FD6"/>
    <w:rsid w:val="007E27E8"/>
    <w:rsid w:val="007F0D14"/>
    <w:rsid w:val="007F25AC"/>
    <w:rsid w:val="007F27CE"/>
    <w:rsid w:val="008060F8"/>
    <w:rsid w:val="00807D77"/>
    <w:rsid w:val="00816987"/>
    <w:rsid w:val="008210BF"/>
    <w:rsid w:val="00823DBB"/>
    <w:rsid w:val="00827E5D"/>
    <w:rsid w:val="00834DBE"/>
    <w:rsid w:val="0083589D"/>
    <w:rsid w:val="00844792"/>
    <w:rsid w:val="00844B89"/>
    <w:rsid w:val="00854246"/>
    <w:rsid w:val="00857D93"/>
    <w:rsid w:val="00860AC6"/>
    <w:rsid w:val="00865D77"/>
    <w:rsid w:val="00877BA1"/>
    <w:rsid w:val="00877DAA"/>
    <w:rsid w:val="00883A47"/>
    <w:rsid w:val="0088469B"/>
    <w:rsid w:val="0088708B"/>
    <w:rsid w:val="00887309"/>
    <w:rsid w:val="00895E6A"/>
    <w:rsid w:val="008A3366"/>
    <w:rsid w:val="008A7B7A"/>
    <w:rsid w:val="008B2FDE"/>
    <w:rsid w:val="008B7792"/>
    <w:rsid w:val="008B7B09"/>
    <w:rsid w:val="008D11E7"/>
    <w:rsid w:val="008D25F8"/>
    <w:rsid w:val="008D4BAE"/>
    <w:rsid w:val="008E09AD"/>
    <w:rsid w:val="008E4239"/>
    <w:rsid w:val="008E668C"/>
    <w:rsid w:val="008F6960"/>
    <w:rsid w:val="00913422"/>
    <w:rsid w:val="0091725F"/>
    <w:rsid w:val="00923DFF"/>
    <w:rsid w:val="009256CA"/>
    <w:rsid w:val="009263E0"/>
    <w:rsid w:val="00930D16"/>
    <w:rsid w:val="00937B2C"/>
    <w:rsid w:val="00965C3C"/>
    <w:rsid w:val="00966F76"/>
    <w:rsid w:val="00967768"/>
    <w:rsid w:val="009742D6"/>
    <w:rsid w:val="00980CD1"/>
    <w:rsid w:val="0098541F"/>
    <w:rsid w:val="00992B09"/>
    <w:rsid w:val="00993D2B"/>
    <w:rsid w:val="00996C23"/>
    <w:rsid w:val="009A1948"/>
    <w:rsid w:val="009C7F4F"/>
    <w:rsid w:val="009D43E3"/>
    <w:rsid w:val="009D6E8A"/>
    <w:rsid w:val="009E11C2"/>
    <w:rsid w:val="009E1D91"/>
    <w:rsid w:val="009E5F94"/>
    <w:rsid w:val="009E7511"/>
    <w:rsid w:val="009F1A21"/>
    <w:rsid w:val="009F3DA3"/>
    <w:rsid w:val="00A01963"/>
    <w:rsid w:val="00A10301"/>
    <w:rsid w:val="00A149B0"/>
    <w:rsid w:val="00A22D74"/>
    <w:rsid w:val="00A230E5"/>
    <w:rsid w:val="00A243FB"/>
    <w:rsid w:val="00A35FA3"/>
    <w:rsid w:val="00A44CD6"/>
    <w:rsid w:val="00A667E8"/>
    <w:rsid w:val="00A74D21"/>
    <w:rsid w:val="00A90E62"/>
    <w:rsid w:val="00A910E2"/>
    <w:rsid w:val="00A91FC6"/>
    <w:rsid w:val="00A935AF"/>
    <w:rsid w:val="00AA047B"/>
    <w:rsid w:val="00AB1FB6"/>
    <w:rsid w:val="00AD6A16"/>
    <w:rsid w:val="00AE406B"/>
    <w:rsid w:val="00AE57CB"/>
    <w:rsid w:val="00AF1036"/>
    <w:rsid w:val="00B06B96"/>
    <w:rsid w:val="00B11A86"/>
    <w:rsid w:val="00B15E4A"/>
    <w:rsid w:val="00B178ED"/>
    <w:rsid w:val="00B21243"/>
    <w:rsid w:val="00B2186A"/>
    <w:rsid w:val="00B22627"/>
    <w:rsid w:val="00B243D9"/>
    <w:rsid w:val="00B31894"/>
    <w:rsid w:val="00B330FE"/>
    <w:rsid w:val="00B4498A"/>
    <w:rsid w:val="00B50117"/>
    <w:rsid w:val="00B53C8D"/>
    <w:rsid w:val="00B55D40"/>
    <w:rsid w:val="00B64269"/>
    <w:rsid w:val="00B80B3A"/>
    <w:rsid w:val="00B9458D"/>
    <w:rsid w:val="00BA0B64"/>
    <w:rsid w:val="00BA40B9"/>
    <w:rsid w:val="00BA5FD5"/>
    <w:rsid w:val="00BB54C8"/>
    <w:rsid w:val="00BC28B5"/>
    <w:rsid w:val="00BC58D9"/>
    <w:rsid w:val="00BC76AB"/>
    <w:rsid w:val="00BC7877"/>
    <w:rsid w:val="00BD5179"/>
    <w:rsid w:val="00BD6D00"/>
    <w:rsid w:val="00BF6985"/>
    <w:rsid w:val="00C021D9"/>
    <w:rsid w:val="00C04BA3"/>
    <w:rsid w:val="00C073BC"/>
    <w:rsid w:val="00C237F4"/>
    <w:rsid w:val="00C27DE9"/>
    <w:rsid w:val="00C317B3"/>
    <w:rsid w:val="00C3322D"/>
    <w:rsid w:val="00C50B9B"/>
    <w:rsid w:val="00C56AF8"/>
    <w:rsid w:val="00C6247C"/>
    <w:rsid w:val="00C6627F"/>
    <w:rsid w:val="00C665D3"/>
    <w:rsid w:val="00C7172B"/>
    <w:rsid w:val="00C751B4"/>
    <w:rsid w:val="00C76401"/>
    <w:rsid w:val="00C87527"/>
    <w:rsid w:val="00C95BA8"/>
    <w:rsid w:val="00CA0190"/>
    <w:rsid w:val="00CA25F2"/>
    <w:rsid w:val="00CB0CFF"/>
    <w:rsid w:val="00CB1C9F"/>
    <w:rsid w:val="00CB7CE6"/>
    <w:rsid w:val="00CC2A47"/>
    <w:rsid w:val="00CC5226"/>
    <w:rsid w:val="00CC5EEF"/>
    <w:rsid w:val="00CD4A47"/>
    <w:rsid w:val="00CD63D1"/>
    <w:rsid w:val="00CE45A2"/>
    <w:rsid w:val="00CE7335"/>
    <w:rsid w:val="00D10639"/>
    <w:rsid w:val="00D14409"/>
    <w:rsid w:val="00D2241B"/>
    <w:rsid w:val="00D23D9F"/>
    <w:rsid w:val="00D4277D"/>
    <w:rsid w:val="00D72336"/>
    <w:rsid w:val="00D750D6"/>
    <w:rsid w:val="00D8708B"/>
    <w:rsid w:val="00D87A87"/>
    <w:rsid w:val="00D96EB1"/>
    <w:rsid w:val="00DB3D7E"/>
    <w:rsid w:val="00DB6AF8"/>
    <w:rsid w:val="00DC199D"/>
    <w:rsid w:val="00DD1AC2"/>
    <w:rsid w:val="00DD2FA5"/>
    <w:rsid w:val="00DD32EE"/>
    <w:rsid w:val="00DD3DF5"/>
    <w:rsid w:val="00DD5A39"/>
    <w:rsid w:val="00DF0353"/>
    <w:rsid w:val="00DF0A4C"/>
    <w:rsid w:val="00DF5E2E"/>
    <w:rsid w:val="00E073B5"/>
    <w:rsid w:val="00E1513F"/>
    <w:rsid w:val="00E22999"/>
    <w:rsid w:val="00E264DB"/>
    <w:rsid w:val="00E32584"/>
    <w:rsid w:val="00E46C7A"/>
    <w:rsid w:val="00E67C15"/>
    <w:rsid w:val="00E73FFB"/>
    <w:rsid w:val="00E753F6"/>
    <w:rsid w:val="00E85409"/>
    <w:rsid w:val="00E936F6"/>
    <w:rsid w:val="00EA2C5B"/>
    <w:rsid w:val="00EB5864"/>
    <w:rsid w:val="00EC3C36"/>
    <w:rsid w:val="00ED1A0B"/>
    <w:rsid w:val="00ED2CC0"/>
    <w:rsid w:val="00F01903"/>
    <w:rsid w:val="00F03D81"/>
    <w:rsid w:val="00F13AAB"/>
    <w:rsid w:val="00F1483D"/>
    <w:rsid w:val="00F24B62"/>
    <w:rsid w:val="00F31776"/>
    <w:rsid w:val="00F4635D"/>
    <w:rsid w:val="00F4680D"/>
    <w:rsid w:val="00F46EFE"/>
    <w:rsid w:val="00F5164E"/>
    <w:rsid w:val="00F532E5"/>
    <w:rsid w:val="00F542E5"/>
    <w:rsid w:val="00F614B8"/>
    <w:rsid w:val="00F615A1"/>
    <w:rsid w:val="00F62CB3"/>
    <w:rsid w:val="00F668DB"/>
    <w:rsid w:val="00F72F36"/>
    <w:rsid w:val="00F732B4"/>
    <w:rsid w:val="00F7416B"/>
    <w:rsid w:val="00F93C11"/>
    <w:rsid w:val="00FA7233"/>
    <w:rsid w:val="00FA7B12"/>
    <w:rsid w:val="00FB14A1"/>
    <w:rsid w:val="00FD1B3A"/>
    <w:rsid w:val="00FF5012"/>
    <w:rsid w:val="00FF68BD"/>
    <w:rsid w:val="02AD265A"/>
    <w:rsid w:val="02BC2F88"/>
    <w:rsid w:val="04A67776"/>
    <w:rsid w:val="07790841"/>
    <w:rsid w:val="08016BA0"/>
    <w:rsid w:val="09BF3E66"/>
    <w:rsid w:val="09FD64B9"/>
    <w:rsid w:val="0A553567"/>
    <w:rsid w:val="0BA850B2"/>
    <w:rsid w:val="0C42091A"/>
    <w:rsid w:val="0DB35866"/>
    <w:rsid w:val="0EDA7570"/>
    <w:rsid w:val="0F0A1A17"/>
    <w:rsid w:val="1054407B"/>
    <w:rsid w:val="12963FCA"/>
    <w:rsid w:val="12A95864"/>
    <w:rsid w:val="12F83F81"/>
    <w:rsid w:val="13300B53"/>
    <w:rsid w:val="1332726E"/>
    <w:rsid w:val="138D2144"/>
    <w:rsid w:val="14766C9A"/>
    <w:rsid w:val="16FE1A09"/>
    <w:rsid w:val="177002BA"/>
    <w:rsid w:val="17906BB7"/>
    <w:rsid w:val="17C73096"/>
    <w:rsid w:val="18F3345C"/>
    <w:rsid w:val="18F72DD0"/>
    <w:rsid w:val="1A4D0107"/>
    <w:rsid w:val="1A7578EC"/>
    <w:rsid w:val="1AAD7844"/>
    <w:rsid w:val="1AF47930"/>
    <w:rsid w:val="1B0637E2"/>
    <w:rsid w:val="1F126FCC"/>
    <w:rsid w:val="2042019C"/>
    <w:rsid w:val="20C47749"/>
    <w:rsid w:val="21881369"/>
    <w:rsid w:val="244611C8"/>
    <w:rsid w:val="24B6038F"/>
    <w:rsid w:val="26510D83"/>
    <w:rsid w:val="266D761C"/>
    <w:rsid w:val="2745657B"/>
    <w:rsid w:val="27AD7BC0"/>
    <w:rsid w:val="29AE62C8"/>
    <w:rsid w:val="2DB65FD5"/>
    <w:rsid w:val="2DFB0DE9"/>
    <w:rsid w:val="2E4F7092"/>
    <w:rsid w:val="2EF87A74"/>
    <w:rsid w:val="31AE2B66"/>
    <w:rsid w:val="31E24777"/>
    <w:rsid w:val="32F22B99"/>
    <w:rsid w:val="3365779C"/>
    <w:rsid w:val="338378A0"/>
    <w:rsid w:val="339B1B33"/>
    <w:rsid w:val="35351E70"/>
    <w:rsid w:val="368469D5"/>
    <w:rsid w:val="377208EC"/>
    <w:rsid w:val="38160AC4"/>
    <w:rsid w:val="384A0317"/>
    <w:rsid w:val="38743AF9"/>
    <w:rsid w:val="39C135D1"/>
    <w:rsid w:val="3AFA1904"/>
    <w:rsid w:val="3B5F50F7"/>
    <w:rsid w:val="3BC4391B"/>
    <w:rsid w:val="3BE924EE"/>
    <w:rsid w:val="3D354CED"/>
    <w:rsid w:val="3D5A02ED"/>
    <w:rsid w:val="3DA5537B"/>
    <w:rsid w:val="3DEB1345"/>
    <w:rsid w:val="3E352B6E"/>
    <w:rsid w:val="3E99177D"/>
    <w:rsid w:val="3EF83AD7"/>
    <w:rsid w:val="400F3041"/>
    <w:rsid w:val="41067DC3"/>
    <w:rsid w:val="425C345A"/>
    <w:rsid w:val="43037D72"/>
    <w:rsid w:val="438F40D2"/>
    <w:rsid w:val="45C447DC"/>
    <w:rsid w:val="4632053B"/>
    <w:rsid w:val="4645644E"/>
    <w:rsid w:val="468D375C"/>
    <w:rsid w:val="46F4004E"/>
    <w:rsid w:val="47316590"/>
    <w:rsid w:val="47CE7AEC"/>
    <w:rsid w:val="484D76BB"/>
    <w:rsid w:val="48570546"/>
    <w:rsid w:val="49470E56"/>
    <w:rsid w:val="4AEA112C"/>
    <w:rsid w:val="4BEA587F"/>
    <w:rsid w:val="4CDA55E2"/>
    <w:rsid w:val="4DFA5D90"/>
    <w:rsid w:val="4ED905C4"/>
    <w:rsid w:val="4FC23D9D"/>
    <w:rsid w:val="52595776"/>
    <w:rsid w:val="549A3881"/>
    <w:rsid w:val="565454FA"/>
    <w:rsid w:val="568D1358"/>
    <w:rsid w:val="59F2587C"/>
    <w:rsid w:val="59F54ADB"/>
    <w:rsid w:val="5A0B266E"/>
    <w:rsid w:val="5ABA0C40"/>
    <w:rsid w:val="5B4B3A35"/>
    <w:rsid w:val="5CCB2916"/>
    <w:rsid w:val="5E3E3239"/>
    <w:rsid w:val="5E923143"/>
    <w:rsid w:val="5E987D39"/>
    <w:rsid w:val="5EC0240A"/>
    <w:rsid w:val="5FD823BE"/>
    <w:rsid w:val="620F1F31"/>
    <w:rsid w:val="622F1706"/>
    <w:rsid w:val="63265900"/>
    <w:rsid w:val="64192F0D"/>
    <w:rsid w:val="64863537"/>
    <w:rsid w:val="64E57193"/>
    <w:rsid w:val="652E0E9F"/>
    <w:rsid w:val="65C9315F"/>
    <w:rsid w:val="669749BF"/>
    <w:rsid w:val="671201AB"/>
    <w:rsid w:val="68341B11"/>
    <w:rsid w:val="68D3103B"/>
    <w:rsid w:val="6C3577AD"/>
    <w:rsid w:val="6E32082C"/>
    <w:rsid w:val="6F7C1C99"/>
    <w:rsid w:val="6F9B3169"/>
    <w:rsid w:val="70DF6349"/>
    <w:rsid w:val="72802F4E"/>
    <w:rsid w:val="73DA0C11"/>
    <w:rsid w:val="74187C5B"/>
    <w:rsid w:val="75CE41FE"/>
    <w:rsid w:val="76131E23"/>
    <w:rsid w:val="763F639A"/>
    <w:rsid w:val="76933F6C"/>
    <w:rsid w:val="7718777E"/>
    <w:rsid w:val="775774EF"/>
    <w:rsid w:val="77E66315"/>
    <w:rsid w:val="783E22E2"/>
    <w:rsid w:val="7999290D"/>
    <w:rsid w:val="7BB37E5E"/>
    <w:rsid w:val="7E8E74FF"/>
    <w:rsid w:val="7FC200D1"/>
    <w:rsid w:val="EDF919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qFormat/>
    <w:uiPriority w:val="0"/>
    <w:pPr>
      <w:jc w:val="left"/>
    </w:pPr>
  </w:style>
  <w:style w:type="paragraph" w:styleId="3">
    <w:name w:val="Date"/>
    <w:basedOn w:val="1"/>
    <w:next w:val="1"/>
    <w:link w:val="26"/>
    <w:semiHidden/>
    <w:unhideWhenUsed/>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9"/>
    <w:qFormat/>
    <w:uiPriority w:val="0"/>
    <w:rPr>
      <w:b/>
      <w:bCs/>
    </w:rPr>
  </w:style>
  <w:style w:type="character" w:styleId="10">
    <w:name w:val="page number"/>
    <w:basedOn w:val="9"/>
    <w:qFormat/>
    <w:uiPriority w:val="0"/>
  </w:style>
  <w:style w:type="character" w:styleId="11">
    <w:name w:val="annotation reference"/>
    <w:qFormat/>
    <w:uiPriority w:val="0"/>
    <w:rPr>
      <w:sz w:val="21"/>
      <w:szCs w:val="21"/>
    </w:rPr>
  </w:style>
  <w:style w:type="paragraph" w:customStyle="1" w:styleId="12">
    <w:name w:val="p0"/>
    <w:basedOn w:val="1"/>
    <w:qFormat/>
    <w:uiPriority w:val="0"/>
    <w:pPr>
      <w:widowControl/>
    </w:pPr>
    <w:rPr>
      <w:kern w:val="0"/>
      <w:szCs w:val="21"/>
    </w:rPr>
  </w:style>
  <w:style w:type="paragraph" w:customStyle="1" w:styleId="13">
    <w:name w:val="Char Char"/>
    <w:basedOn w:val="1"/>
    <w:qFormat/>
    <w:uiPriority w:val="0"/>
    <w:rPr>
      <w:rFonts w:ascii="Tahoma" w:hAnsi="Tahoma"/>
      <w:sz w:val="24"/>
      <w:szCs w:val="20"/>
    </w:rPr>
  </w:style>
  <w:style w:type="paragraph" w:customStyle="1" w:styleId="14">
    <w:name w:val="Char Char Char Char Char Char Char Char Char Char Char Char Char Char Char Char"/>
    <w:basedOn w:val="1"/>
    <w:qFormat/>
    <w:uiPriority w:val="0"/>
    <w:pPr>
      <w:tabs>
        <w:tab w:val="left" w:pos="360"/>
      </w:tabs>
    </w:pPr>
    <w:rPr>
      <w:sz w:val="24"/>
    </w:rPr>
  </w:style>
  <w:style w:type="paragraph" w:customStyle="1" w:styleId="15">
    <w:name w:val="Char Char Char Char1 Char Char Char Char Char Char Char Char Char Char Char Char Char Char Char Char Char"/>
    <w:basedOn w:val="1"/>
    <w:qFormat/>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paragraph" w:customStyle="1" w:styleId="16">
    <w:name w:val="_Style 14"/>
    <w:semiHidden/>
    <w:qFormat/>
    <w:uiPriority w:val="99"/>
    <w:rPr>
      <w:rFonts w:ascii="Times New Roman" w:hAnsi="Times New Roman" w:eastAsia="宋体" w:cs="Times New Roman"/>
      <w:kern w:val="2"/>
      <w:sz w:val="21"/>
      <w:szCs w:val="24"/>
      <w:lang w:val="en-US" w:eastAsia="zh-CN" w:bidi="ar-SA"/>
    </w:rPr>
  </w:style>
  <w:style w:type="character" w:customStyle="1" w:styleId="17">
    <w:name w:val="批注文字 字符"/>
    <w:link w:val="2"/>
    <w:qFormat/>
    <w:uiPriority w:val="0"/>
    <w:rPr>
      <w:kern w:val="2"/>
      <w:sz w:val="21"/>
      <w:szCs w:val="24"/>
    </w:rPr>
  </w:style>
  <w:style w:type="character" w:customStyle="1" w:styleId="18">
    <w:name w:val="页脚 字符"/>
    <w:link w:val="5"/>
    <w:qFormat/>
    <w:uiPriority w:val="99"/>
    <w:rPr>
      <w:kern w:val="2"/>
      <w:sz w:val="18"/>
      <w:szCs w:val="18"/>
    </w:rPr>
  </w:style>
  <w:style w:type="character" w:customStyle="1" w:styleId="19">
    <w:name w:val="批注主题 字符"/>
    <w:link w:val="7"/>
    <w:qFormat/>
    <w:uiPriority w:val="0"/>
    <w:rPr>
      <w:b/>
      <w:bCs/>
      <w:kern w:val="2"/>
      <w:sz w:val="21"/>
      <w:szCs w:val="24"/>
    </w:rPr>
  </w:style>
  <w:style w:type="paragraph" w:customStyle="1" w:styleId="20">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21">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22">
    <w:name w:val="font131"/>
    <w:basedOn w:val="9"/>
    <w:qFormat/>
    <w:uiPriority w:val="0"/>
    <w:rPr>
      <w:rFonts w:hint="eastAsia" w:ascii="黑体" w:hAnsi="宋体" w:eastAsia="黑体" w:cs="黑体"/>
      <w:color w:val="000000"/>
      <w:sz w:val="20"/>
      <w:szCs w:val="20"/>
      <w:u w:val="none"/>
    </w:rPr>
  </w:style>
  <w:style w:type="character" w:customStyle="1" w:styleId="23">
    <w:name w:val="font151"/>
    <w:basedOn w:val="9"/>
    <w:qFormat/>
    <w:uiPriority w:val="0"/>
    <w:rPr>
      <w:rFonts w:hint="eastAsia" w:ascii="黑体" w:hAnsi="宋体" w:eastAsia="黑体" w:cs="黑体"/>
      <w:color w:val="000000"/>
      <w:sz w:val="18"/>
      <w:szCs w:val="18"/>
      <w:u w:val="none"/>
    </w:rPr>
  </w:style>
  <w:style w:type="character" w:customStyle="1" w:styleId="24">
    <w:name w:val="font121"/>
    <w:basedOn w:val="9"/>
    <w:qFormat/>
    <w:uiPriority w:val="0"/>
    <w:rPr>
      <w:rFonts w:hint="eastAsia" w:ascii="黑体" w:hAnsi="宋体" w:eastAsia="黑体" w:cs="黑体"/>
      <w:color w:val="000000"/>
      <w:sz w:val="16"/>
      <w:szCs w:val="16"/>
      <w:u w:val="none"/>
    </w:rPr>
  </w:style>
  <w:style w:type="character" w:customStyle="1" w:styleId="25">
    <w:name w:val="font141"/>
    <w:basedOn w:val="9"/>
    <w:qFormat/>
    <w:uiPriority w:val="0"/>
    <w:rPr>
      <w:rFonts w:hint="eastAsia" w:ascii="黑体" w:hAnsi="宋体" w:eastAsia="黑体" w:cs="黑体"/>
      <w:color w:val="000000"/>
      <w:sz w:val="14"/>
      <w:szCs w:val="14"/>
      <w:u w:val="none"/>
    </w:rPr>
  </w:style>
  <w:style w:type="character" w:customStyle="1" w:styleId="26">
    <w:name w:val="日期 字符"/>
    <w:basedOn w:val="9"/>
    <w:link w:val="3"/>
    <w:semiHidden/>
    <w:qFormat/>
    <w:uiPriority w:val="0"/>
    <w:rPr>
      <w:kern w:val="2"/>
      <w:sz w:val="21"/>
      <w:szCs w:val="24"/>
    </w:rPr>
  </w:style>
  <w:style w:type="paragraph" w:customStyle="1" w:styleId="27">
    <w:name w:val="Revision"/>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X%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收入构成情况</a:t>
            </a:r>
          </a:p>
        </c:rich>
      </c:tx>
      <c:layout/>
      <c:overlay val="false"/>
      <c:spPr>
        <a:noFill/>
        <a:ln>
          <a:noFill/>
        </a:ln>
        <a:effectLst/>
      </c:spPr>
    </c:title>
    <c:autoTitleDeleted val="false"/>
    <c:plotArea>
      <c:layout/>
      <c:pieChart>
        <c:varyColors val="true"/>
        <c:ser>
          <c:idx val="0"/>
          <c:order val="0"/>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Pt>
            <c:idx val="2"/>
            <c:bubble3D val="false"/>
            <c:spPr>
              <a:solidFill>
                <a:schemeClr val="accent3"/>
              </a:solidFill>
              <a:ln w="19050">
                <a:solidFill>
                  <a:schemeClr val="lt1"/>
                </a:solidFill>
              </a:ln>
              <a:effectLst/>
            </c:spPr>
          </c:dPt>
          <c:dPt>
            <c:idx val="3"/>
            <c:bubble3D val="false"/>
            <c:spPr>
              <a:solidFill>
                <a:schemeClr val="accent4"/>
              </a:solidFill>
              <a:ln w="19050">
                <a:solidFill>
                  <a:schemeClr val="lt1"/>
                </a:solidFill>
              </a:ln>
              <a:effectLst/>
            </c:spPr>
          </c:dPt>
          <c:dPt>
            <c:idx val="4"/>
            <c:bubble3D val="false"/>
            <c:spPr>
              <a:solidFill>
                <a:schemeClr val="accent5"/>
              </a:solidFill>
              <a:ln w="19050">
                <a:solidFill>
                  <a:schemeClr val="lt1"/>
                </a:solidFill>
              </a:ln>
              <a:effectLst/>
            </c:spPr>
          </c:dPt>
          <c:dPt>
            <c:idx val="5"/>
            <c:bubble3D val="false"/>
            <c:spPr>
              <a:solidFill>
                <a:schemeClr val="accent6"/>
              </a:solidFill>
              <a:ln w="19050">
                <a:solidFill>
                  <a:schemeClr val="lt1"/>
                </a:solidFill>
              </a:ln>
              <a:effectLst/>
            </c:spPr>
          </c:dPt>
          <c:dPt>
            <c:idx val="6"/>
            <c:bubble3D val="false"/>
            <c:spPr>
              <a:solidFill>
                <a:schemeClr val="accent1">
                  <a:lumMod val="60000"/>
                </a:schemeClr>
              </a:solidFill>
              <a:ln w="19050">
                <a:solidFill>
                  <a:schemeClr val="lt1"/>
                </a:solidFill>
              </a:ln>
              <a:effectLst/>
            </c:spPr>
          </c:dPt>
          <c:dPt>
            <c:idx val="7"/>
            <c:bubble3D val="false"/>
            <c:spPr>
              <a:solidFill>
                <a:schemeClr val="accent2">
                  <a:lumMod val="60000"/>
                </a:schemeClr>
              </a:solidFill>
              <a:ln w="19050">
                <a:solidFill>
                  <a:schemeClr val="lt1"/>
                </a:solidFill>
              </a:ln>
              <a:effectLst/>
            </c:spPr>
          </c:dPt>
          <c:dPt>
            <c:idx val="8"/>
            <c:bubble3D val="false"/>
            <c:spPr>
              <a:solidFill>
                <a:schemeClr val="accent3">
                  <a:lumMod val="60000"/>
                </a:schemeClr>
              </a:solidFill>
              <a:ln w="19050">
                <a:solidFill>
                  <a:schemeClr val="lt1"/>
                </a:solidFill>
              </a:ln>
              <a:effectLst/>
            </c:spPr>
          </c:dPt>
          <c:dPt>
            <c:idx val="9"/>
            <c:bubble3D val="false"/>
            <c:spPr>
              <a:solidFill>
                <a:schemeClr val="accent4">
                  <a:lumMod val="60000"/>
                </a:schemeClr>
              </a:solidFill>
              <a:ln w="19050">
                <a:solidFill>
                  <a:schemeClr val="lt1"/>
                </a:solidFill>
              </a:ln>
              <a:effectLst/>
            </c:spPr>
          </c:dPt>
          <c:dPt>
            <c:idx val="10"/>
            <c:bubble3D val="false"/>
            <c:spPr>
              <a:solidFill>
                <a:schemeClr val="accent5">
                  <a:lumMod val="60000"/>
                </a:schemeClr>
              </a:solidFill>
              <a:ln w="19050">
                <a:solidFill>
                  <a:schemeClr val="lt1"/>
                </a:solidFill>
              </a:ln>
              <a:effectLst/>
            </c:spPr>
          </c:dPt>
          <c:dLbls>
            <c:delete val="true"/>
          </c:dLbls>
          <c:cat>
            <c:strRef>
              <c:f>'[新建 XLSX 工作表.xlsx]Sheet1'!$A$2:$A$12</c:f>
              <c:strCache>
                <c:ptCount val="11"/>
                <c:pt idx="0">
                  <c:v>一般公共预算收入100%</c:v>
                </c:pt>
                <c:pt idx="1">
                  <c:v>政府性基金预算收入0</c:v>
                </c:pt>
                <c:pt idx="2">
                  <c:v>国有资本经营预算收入0</c:v>
                </c:pt>
                <c:pt idx="3">
                  <c:v>财政专户管理资金收入0</c:v>
                </c:pt>
                <c:pt idx="4">
                  <c:v>事业收入0</c:v>
                </c:pt>
                <c:pt idx="5">
                  <c:v>事业单位经营收入0</c:v>
                </c:pt>
                <c:pt idx="6">
                  <c:v>上级补助收入0</c:v>
                </c:pt>
                <c:pt idx="7">
                  <c:v>附属单位上缴收入0</c:v>
                </c:pt>
                <c:pt idx="8">
                  <c:v>其他收入0</c:v>
                </c:pt>
                <c:pt idx="9">
                  <c:v>使用非财政拨款结余0</c:v>
                </c:pt>
                <c:pt idx="10">
                  <c:v>上年结转0</c:v>
                </c:pt>
              </c:strCache>
            </c:strRef>
          </c:cat>
          <c:val>
            <c:numRef>
              <c:f>'[新建 XLSX 工作表.xlsx]Sheet1'!$B$2:$B$12</c:f>
              <c:numCache>
                <c:formatCode>General</c:formatCode>
                <c:ptCount val="11"/>
                <c:pt idx="0">
                  <c:v>116.42</c:v>
                </c:pt>
                <c:pt idx="1">
                  <c:v>0</c:v>
                </c:pt>
                <c:pt idx="2">
                  <c:v>0</c:v>
                </c:pt>
                <c:pt idx="3">
                  <c:v>0</c:v>
                </c:pt>
                <c:pt idx="4">
                  <c:v>0</c:v>
                </c:pt>
                <c:pt idx="5">
                  <c:v>0</c:v>
                </c:pt>
                <c:pt idx="6">
                  <c:v>0</c:v>
                </c:pt>
                <c:pt idx="7">
                  <c:v>0</c:v>
                </c:pt>
                <c:pt idx="8">
                  <c:v>0</c:v>
                </c:pt>
                <c:pt idx="9">
                  <c:v>0</c:v>
                </c:pt>
                <c:pt idx="10">
                  <c:v>0</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b"/>
      <c:layout>
        <c:manualLayout>
          <c:xMode val="edge"/>
          <c:yMode val="edge"/>
          <c:x val="0.0571527777777778"/>
          <c:y val="0.684953703703704"/>
        </c:manualLayout>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支出项目构成情况表</a:t>
            </a:r>
          </a:p>
        </c:rich>
      </c:tx>
      <c:layout/>
      <c:overlay val="false"/>
      <c:spPr>
        <a:noFill/>
        <a:ln>
          <a:noFill/>
        </a:ln>
        <a:effectLst/>
      </c:spPr>
    </c:title>
    <c:autoTitleDeleted val="false"/>
    <c:plotArea>
      <c:layout/>
      <c:pieChart>
        <c:varyColors val="true"/>
        <c:ser>
          <c:idx val="0"/>
          <c:order val="0"/>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Lbls>
            <c:delete val="true"/>
          </c:dLbls>
          <c:cat>
            <c:strRef>
              <c:f>'[新建 XLSX 工作表.xlsx]Sheet1'!$A$15:$A$16</c:f>
              <c:strCache>
                <c:ptCount val="2"/>
                <c:pt idx="0">
                  <c:v>基本支出67.55%</c:v>
                </c:pt>
                <c:pt idx="1">
                  <c:v>项目支出32.45%</c:v>
                </c:pt>
              </c:strCache>
            </c:strRef>
          </c:cat>
          <c:val>
            <c:numRef>
              <c:f>'[新建 XLSX 工作表.xlsx]Sheet1'!$B$15:$B$16</c:f>
              <c:numCache>
                <c:formatCode>0.00%</c:formatCode>
                <c:ptCount val="2"/>
                <c:pt idx="0">
                  <c:v>0.6755</c:v>
                </c:pt>
                <c:pt idx="1">
                  <c:v>0.3245</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37</Pages>
  <Words>7390</Words>
  <Characters>9140</Characters>
  <Lines>88</Lines>
  <Paragraphs>24</Paragraphs>
  <TotalTime>1</TotalTime>
  <ScaleCrop>false</ScaleCrop>
  <LinksUpToDate>false</LinksUpToDate>
  <CharactersWithSpaces>9928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2022-02-17T14:57:00Z</dcterms:created>
  <dc:creator>Li</dc:creator>
  <cp:lastModifiedBy>user</cp:lastModifiedBy>
  <cp:lastPrinted>2022-02-11T15:12:00Z</cp:lastPrinted>
  <dcterms:modified xsi:type="dcterms:W3CDTF">2023-11-02T17:54:28Z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326EC645A0CB48D482E8B2A6DB851EB2</vt:lpwstr>
  </property>
</Properties>
</file>