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sz w:val="44"/>
          <w:szCs w:val="44"/>
          <w:lang w:val="en-US" w:eastAsia="zh-CN"/>
        </w:rPr>
      </w:pPr>
      <w:bookmarkStart w:id="0" w:name="_GoBack"/>
      <w:r>
        <w:rPr>
          <w:rFonts w:hint="eastAsia" w:ascii="方正小标宋_GBK" w:hAnsi="方正小标宋_GBK" w:eastAsia="方正小标宋_GBK" w:cs="方正小标宋_GBK"/>
          <w:sz w:val="44"/>
          <w:szCs w:val="44"/>
          <w:lang w:val="en-US" w:eastAsia="zh-CN"/>
        </w:rPr>
        <w:t>2021年度普法工作计划和普法责任清单</w:t>
      </w:r>
    </w:p>
    <w:bookmarkEnd w:id="0"/>
    <w:tbl>
      <w:tblPr>
        <w:tblStyle w:val="4"/>
        <w:tblpPr w:leftFromText="180" w:rightFromText="180" w:vertAnchor="text" w:horzAnchor="page" w:tblpX="1578" w:tblpY="792"/>
        <w:tblOverlap w:val="never"/>
        <w:tblW w:w="94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3"/>
        <w:gridCol w:w="3844"/>
        <w:gridCol w:w="1558"/>
        <w:gridCol w:w="1581"/>
        <w:gridCol w:w="15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Pr>
          <w:p>
            <w:pPr>
              <w:numPr>
                <w:ilvl w:val="0"/>
                <w:numId w:val="0"/>
              </w:numPr>
              <w:jc w:val="center"/>
              <w:rPr>
                <w:rFonts w:hint="eastAsia" w:ascii="方正黑体_GBK" w:hAnsi="方正黑体_GBK" w:eastAsia="方正黑体_GBK" w:cs="方正黑体_GBK"/>
                <w:sz w:val="30"/>
                <w:szCs w:val="30"/>
                <w:vertAlign w:val="baseline"/>
                <w:lang w:val="en-US" w:eastAsia="zh-CN"/>
              </w:rPr>
            </w:pPr>
            <w:r>
              <w:rPr>
                <w:rFonts w:hint="eastAsia" w:ascii="方正黑体_GBK" w:hAnsi="方正黑体_GBK" w:eastAsia="方正黑体_GBK" w:cs="方正黑体_GBK"/>
                <w:sz w:val="30"/>
                <w:szCs w:val="30"/>
                <w:vertAlign w:val="baseline"/>
                <w:lang w:val="en-US" w:eastAsia="zh-CN"/>
              </w:rPr>
              <w:t>时间</w:t>
            </w:r>
          </w:p>
        </w:tc>
        <w:tc>
          <w:tcPr>
            <w:tcW w:w="3844" w:type="dxa"/>
          </w:tcPr>
          <w:p>
            <w:pPr>
              <w:numPr>
                <w:ilvl w:val="0"/>
                <w:numId w:val="0"/>
              </w:numPr>
              <w:jc w:val="center"/>
              <w:rPr>
                <w:rFonts w:hint="eastAsia" w:ascii="方正黑体_GBK" w:hAnsi="方正黑体_GBK" w:eastAsia="方正黑体_GBK" w:cs="方正黑体_GBK"/>
                <w:sz w:val="30"/>
                <w:szCs w:val="30"/>
                <w:vertAlign w:val="baseline"/>
                <w:lang w:val="en-US" w:eastAsia="zh-CN"/>
              </w:rPr>
            </w:pPr>
            <w:r>
              <w:rPr>
                <w:rFonts w:hint="eastAsia" w:ascii="方正黑体_GBK" w:hAnsi="方正黑体_GBK" w:eastAsia="方正黑体_GBK" w:cs="方正黑体_GBK"/>
                <w:sz w:val="30"/>
                <w:szCs w:val="30"/>
                <w:vertAlign w:val="baseline"/>
                <w:lang w:val="en-US" w:eastAsia="zh-CN"/>
              </w:rPr>
              <w:t>重点工作</w:t>
            </w:r>
          </w:p>
        </w:tc>
        <w:tc>
          <w:tcPr>
            <w:tcW w:w="1558" w:type="dxa"/>
          </w:tcPr>
          <w:p>
            <w:pPr>
              <w:numPr>
                <w:ilvl w:val="0"/>
                <w:numId w:val="0"/>
              </w:numPr>
              <w:jc w:val="center"/>
              <w:rPr>
                <w:rFonts w:hint="eastAsia" w:ascii="方正黑体_GBK" w:hAnsi="方正黑体_GBK" w:eastAsia="方正黑体_GBK" w:cs="方正黑体_GBK"/>
                <w:sz w:val="30"/>
                <w:szCs w:val="30"/>
                <w:vertAlign w:val="baseline"/>
                <w:lang w:val="en-US" w:eastAsia="zh-CN"/>
              </w:rPr>
            </w:pPr>
            <w:r>
              <w:rPr>
                <w:rFonts w:hint="eastAsia" w:ascii="方正黑体_GBK" w:hAnsi="方正黑体_GBK" w:eastAsia="方正黑体_GBK" w:cs="方正黑体_GBK"/>
                <w:sz w:val="30"/>
                <w:szCs w:val="30"/>
                <w:vertAlign w:val="baseline"/>
                <w:lang w:val="en-US" w:eastAsia="zh-CN"/>
              </w:rPr>
              <w:t>普法对象</w:t>
            </w:r>
          </w:p>
        </w:tc>
        <w:tc>
          <w:tcPr>
            <w:tcW w:w="1581" w:type="dxa"/>
          </w:tcPr>
          <w:p>
            <w:pPr>
              <w:numPr>
                <w:ilvl w:val="0"/>
                <w:numId w:val="0"/>
              </w:numPr>
              <w:jc w:val="center"/>
              <w:rPr>
                <w:rFonts w:hint="eastAsia" w:ascii="方正黑体_GBK" w:hAnsi="方正黑体_GBK" w:eastAsia="方正黑体_GBK" w:cs="方正黑体_GBK"/>
                <w:sz w:val="30"/>
                <w:szCs w:val="30"/>
                <w:vertAlign w:val="baseline"/>
                <w:lang w:val="en-US" w:eastAsia="zh-CN"/>
              </w:rPr>
            </w:pPr>
            <w:r>
              <w:rPr>
                <w:rFonts w:hint="eastAsia" w:ascii="方正黑体_GBK" w:hAnsi="方正黑体_GBK" w:eastAsia="方正黑体_GBK" w:cs="方正黑体_GBK"/>
                <w:sz w:val="30"/>
                <w:szCs w:val="30"/>
                <w:vertAlign w:val="baseline"/>
                <w:lang w:val="en-US" w:eastAsia="zh-CN"/>
              </w:rPr>
              <w:t>载体形式</w:t>
            </w:r>
          </w:p>
        </w:tc>
        <w:tc>
          <w:tcPr>
            <w:tcW w:w="1581" w:type="dxa"/>
          </w:tcPr>
          <w:p>
            <w:pPr>
              <w:numPr>
                <w:ilvl w:val="0"/>
                <w:numId w:val="0"/>
              </w:numPr>
              <w:jc w:val="center"/>
              <w:rPr>
                <w:rFonts w:hint="eastAsia" w:ascii="方正黑体_GBK" w:hAnsi="方正黑体_GBK" w:eastAsia="方正黑体_GBK" w:cs="方正黑体_GBK"/>
                <w:sz w:val="30"/>
                <w:szCs w:val="30"/>
                <w:vertAlign w:val="baseline"/>
                <w:lang w:val="en-US" w:eastAsia="zh-CN"/>
              </w:rPr>
            </w:pPr>
            <w:r>
              <w:rPr>
                <w:rFonts w:hint="eastAsia" w:ascii="方正黑体_GBK" w:hAnsi="方正黑体_GBK" w:eastAsia="方正黑体_GBK" w:cs="方正黑体_GBK"/>
                <w:sz w:val="30"/>
                <w:szCs w:val="30"/>
                <w:vertAlign w:val="baseline"/>
                <w:lang w:val="en-US" w:eastAsia="zh-CN"/>
              </w:rPr>
              <w:t>责任科室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trPr>
        <w:tc>
          <w:tcPr>
            <w:tcW w:w="92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default"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2月</w:t>
            </w:r>
          </w:p>
        </w:tc>
        <w:tc>
          <w:tcPr>
            <w:tcW w:w="3844"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default"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深入学习贯彻习近平法治思想，学习宣传贯彻党的十九大和十九届五中全会精神及中央全面依法治国工作会议精神。</w:t>
            </w:r>
          </w:p>
        </w:tc>
        <w:tc>
          <w:tcPr>
            <w:tcW w:w="1558"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统战干部</w:t>
            </w:r>
          </w:p>
        </w:tc>
        <w:tc>
          <w:tcPr>
            <w:tcW w:w="158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以会代训</w:t>
            </w:r>
          </w:p>
        </w:tc>
        <w:tc>
          <w:tcPr>
            <w:tcW w:w="158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研究室</w:t>
            </w: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办公室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atLeast"/>
        </w:trPr>
        <w:tc>
          <w:tcPr>
            <w:tcW w:w="92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default"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3月</w:t>
            </w:r>
          </w:p>
        </w:tc>
        <w:tc>
          <w:tcPr>
            <w:tcW w:w="3844"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召开全市民主党派工作座谈会，深入学习贯彻落实中央、省委、市委关于加强中国特色社会主义参政党建设的有关文件精神</w:t>
            </w:r>
          </w:p>
        </w:tc>
        <w:tc>
          <w:tcPr>
            <w:tcW w:w="1558"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各民主党派成员</w:t>
            </w:r>
          </w:p>
        </w:tc>
        <w:tc>
          <w:tcPr>
            <w:tcW w:w="158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培训班</w:t>
            </w:r>
          </w:p>
        </w:tc>
        <w:tc>
          <w:tcPr>
            <w:tcW w:w="158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党派科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default"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4月</w:t>
            </w:r>
          </w:p>
        </w:tc>
        <w:tc>
          <w:tcPr>
            <w:tcW w:w="3844"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学习宣传贯彻《中国共产党统一战线工作条例》</w:t>
            </w:r>
          </w:p>
        </w:tc>
        <w:tc>
          <w:tcPr>
            <w:tcW w:w="1558"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统战干部</w:t>
            </w:r>
          </w:p>
        </w:tc>
        <w:tc>
          <w:tcPr>
            <w:tcW w:w="158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培训班</w:t>
            </w:r>
          </w:p>
        </w:tc>
        <w:tc>
          <w:tcPr>
            <w:tcW w:w="158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研究室</w:t>
            </w: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办公室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default"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5月</w:t>
            </w:r>
          </w:p>
        </w:tc>
        <w:tc>
          <w:tcPr>
            <w:tcW w:w="3844"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举办全市民主党派工作研讨班，举行民主党派代表人士培训班，深入学习贯彻落实中央、省委、市委关于加强中国特色社会主义参政党建设的有关文件精神</w:t>
            </w:r>
          </w:p>
        </w:tc>
        <w:tc>
          <w:tcPr>
            <w:tcW w:w="1558"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各民主党派成员</w:t>
            </w:r>
          </w:p>
        </w:tc>
        <w:tc>
          <w:tcPr>
            <w:tcW w:w="158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培训班</w:t>
            </w:r>
          </w:p>
        </w:tc>
        <w:tc>
          <w:tcPr>
            <w:tcW w:w="158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党派科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2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default"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6月</w:t>
            </w:r>
          </w:p>
        </w:tc>
        <w:tc>
          <w:tcPr>
            <w:tcW w:w="3844"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重点围绕“宗教政策法规学习月”活动，举办全市宗教干部培训班，采取集中培训、观摩学习方式，培训的内容包括党史教育、宗教工作基础知识、宗教事务管理知识、《宗教教职人员管理办法》及涉宗教行政执法的经验交流，进一步加强全市宗教干部的宗教理论政策和法规水平，切实提升宗教工作能力。</w:t>
            </w:r>
          </w:p>
        </w:tc>
        <w:tc>
          <w:tcPr>
            <w:tcW w:w="1558"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全市宗教系统工作人员</w:t>
            </w: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p>
        </w:tc>
        <w:tc>
          <w:tcPr>
            <w:tcW w:w="158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集中培训、观摩学习</w:t>
            </w:r>
          </w:p>
        </w:tc>
        <w:tc>
          <w:tcPr>
            <w:tcW w:w="158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宗教科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2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default"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7月</w:t>
            </w:r>
          </w:p>
        </w:tc>
        <w:tc>
          <w:tcPr>
            <w:tcW w:w="3844"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宣传党章和党内法规</w:t>
            </w:r>
          </w:p>
        </w:tc>
        <w:tc>
          <w:tcPr>
            <w:tcW w:w="1558"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default" w:ascii="仿宋_GB2312" w:hAnsi="仿宋_GB2312" w:eastAsia="仿宋_GB2312" w:cs="仿宋_GB2312"/>
                <w:b w:val="0"/>
                <w:i w:val="0"/>
                <w:caps w:val="0"/>
                <w:color w:val="auto"/>
                <w:spacing w:val="0"/>
                <w:kern w:val="2"/>
                <w:sz w:val="24"/>
                <w:szCs w:val="24"/>
                <w:highlight w:val="none"/>
                <w:shd w:val="clear" w:fill="FFFFFF"/>
                <w:lang w:val="en" w:eastAsia="zh-CN" w:bidi="ar-SA"/>
              </w:rPr>
            </w:pPr>
            <w:r>
              <w:rPr>
                <w:rFonts w:hint="eastAsia" w:ascii="仿宋_GB2312" w:hAnsi="仿宋_GB2312" w:eastAsia="仿宋_GB2312" w:cs="仿宋_GB2312"/>
                <w:b w:val="0"/>
                <w:i w:val="0"/>
                <w:caps w:val="0"/>
                <w:color w:val="auto"/>
                <w:spacing w:val="0"/>
                <w:kern w:val="2"/>
                <w:sz w:val="24"/>
                <w:szCs w:val="24"/>
                <w:highlight w:val="none"/>
                <w:shd w:val="clear" w:fill="FFFFFF"/>
                <w:lang w:val="en" w:eastAsia="zh-CN" w:bidi="ar-SA"/>
              </w:rPr>
              <w:t>干部群众</w:t>
            </w:r>
          </w:p>
        </w:tc>
        <w:tc>
          <w:tcPr>
            <w:tcW w:w="158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线上宣传</w:t>
            </w:r>
          </w:p>
        </w:tc>
        <w:tc>
          <w:tcPr>
            <w:tcW w:w="158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研究室</w:t>
            </w: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办公室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2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default"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8月</w:t>
            </w:r>
          </w:p>
        </w:tc>
        <w:tc>
          <w:tcPr>
            <w:tcW w:w="3844"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学习宣传贯彻《中国共产党统一战线工作条例》</w:t>
            </w:r>
          </w:p>
        </w:tc>
        <w:tc>
          <w:tcPr>
            <w:tcW w:w="1558"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统战干部</w:t>
            </w:r>
          </w:p>
        </w:tc>
        <w:tc>
          <w:tcPr>
            <w:tcW w:w="158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线上宣传</w:t>
            </w:r>
          </w:p>
        </w:tc>
        <w:tc>
          <w:tcPr>
            <w:tcW w:w="158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研究室</w:t>
            </w: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办公室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2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9月</w:t>
            </w:r>
          </w:p>
        </w:tc>
        <w:tc>
          <w:tcPr>
            <w:tcW w:w="3844"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eastAsia"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加大对民族工作干部的培训力度，强化队伍建设，完善人才培养、管理体系。开展学习《中国共产党统一战线工作条例》《中国公民民族成份登记管理办法》《山东省民族工作条例》《山东省公民民族成分登记管理实施细则》《山东省行政程序规定》《山东省清真食品管理规定》等法规条文的专题培训班；中央、省委民族宗教工作会议精神学习专题辅导班。</w:t>
            </w:r>
          </w:p>
        </w:tc>
        <w:tc>
          <w:tcPr>
            <w:tcW w:w="1558"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民族工作人员</w:t>
            </w:r>
          </w:p>
        </w:tc>
        <w:tc>
          <w:tcPr>
            <w:tcW w:w="158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专题培训班</w:t>
            </w:r>
          </w:p>
        </w:tc>
        <w:tc>
          <w:tcPr>
            <w:tcW w:w="158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t>民族科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2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default" w:ascii="仿宋_GB2312" w:hAnsi="仿宋_GB2312" w:eastAsia="仿宋_GB2312" w:cs="仿宋_GB2312"/>
                <w:b w:val="0"/>
                <w:i w:val="0"/>
                <w:caps w:val="0"/>
                <w:color w:val="auto"/>
                <w:spacing w:val="0"/>
                <w:sz w:val="24"/>
                <w:szCs w:val="24"/>
                <w:highlight w:val="none"/>
                <w:shd w:val="clear" w:fill="FFFFFF"/>
                <w:lang w:val="en-US" w:eastAsia="zh-CN"/>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10月</w:t>
            </w:r>
          </w:p>
        </w:tc>
        <w:tc>
          <w:tcPr>
            <w:tcW w:w="3844"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举行民主党派代表人士培训班，深入学习贯彻落实中央、省委、市委关于加强中国特色社会主义参政党建设的有关文件精神</w:t>
            </w:r>
          </w:p>
        </w:tc>
        <w:tc>
          <w:tcPr>
            <w:tcW w:w="1558"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各民主党派成员</w:t>
            </w:r>
          </w:p>
        </w:tc>
        <w:tc>
          <w:tcPr>
            <w:tcW w:w="158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培训班</w:t>
            </w:r>
          </w:p>
        </w:tc>
        <w:tc>
          <w:tcPr>
            <w:tcW w:w="158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党派科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2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default"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12月</w:t>
            </w:r>
          </w:p>
        </w:tc>
        <w:tc>
          <w:tcPr>
            <w:tcW w:w="3844"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参与市普法办组织的“124”国家宪法日“宪法宣传周”.“法制教育月”活动，重点宣传《归侨侨眷权益保护法》和《山东省归侨侨眷保护条例》内容</w:t>
            </w:r>
          </w:p>
        </w:tc>
        <w:tc>
          <w:tcPr>
            <w:tcW w:w="1558"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left"/>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归侨侨眷和海外侨胞、侨资企业、创新创业新侨。</w:t>
            </w:r>
          </w:p>
        </w:tc>
        <w:tc>
          <w:tcPr>
            <w:tcW w:w="158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线下宣传活动</w:t>
            </w:r>
          </w:p>
        </w:tc>
        <w:tc>
          <w:tcPr>
            <w:tcW w:w="158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仿宋_GB2312" w:hAnsi="仿宋_GB2312" w:eastAsia="仿宋_GB2312" w:cs="仿宋_GB2312"/>
                <w:b w:val="0"/>
                <w:i w:val="0"/>
                <w:caps w:val="0"/>
                <w:color w:val="auto"/>
                <w:spacing w:val="0"/>
                <w:kern w:val="2"/>
                <w:sz w:val="24"/>
                <w:szCs w:val="24"/>
                <w:highlight w:val="none"/>
                <w:shd w:val="clear" w:fill="FFFFFF"/>
                <w:lang w:val="en-US" w:eastAsia="zh-CN" w:bidi="ar-SA"/>
              </w:rPr>
            </w:pPr>
            <w:r>
              <w:rPr>
                <w:rFonts w:hint="eastAsia" w:ascii="仿宋_GB2312" w:hAnsi="仿宋_GB2312" w:eastAsia="仿宋_GB2312" w:cs="仿宋_GB2312"/>
                <w:b w:val="0"/>
                <w:i w:val="0"/>
                <w:caps w:val="0"/>
                <w:color w:val="auto"/>
                <w:spacing w:val="0"/>
                <w:sz w:val="24"/>
                <w:szCs w:val="24"/>
                <w:highlight w:val="none"/>
                <w:shd w:val="clear" w:fill="FFFFFF"/>
                <w:lang w:val="en-US" w:eastAsia="zh-CN"/>
              </w:rPr>
              <w:t>侨务科</w:t>
            </w:r>
          </w:p>
        </w:tc>
      </w:tr>
    </w:tbl>
    <w:p>
      <w:pPr>
        <w:rPr>
          <w:rFonts w:hint="eastAsia" w:ascii="仿宋_GB2312" w:hAnsi="仿宋_GB2312" w:eastAsia="仿宋_GB2312" w:cs="仿宋_GB2312"/>
          <w:sz w:val="32"/>
          <w:szCs w:val="32"/>
          <w:lang w:val="en-US" w:eastAsia="zh-CN"/>
        </w:rPr>
      </w:pPr>
    </w:p>
    <w:p>
      <w:pPr>
        <w:keepNext w:val="0"/>
        <w:keepLines w:val="0"/>
        <w:pageBreakBefore w:val="0"/>
        <w:widowControl/>
        <w:kinsoku/>
        <w:wordWrap/>
        <w:overflowPunct/>
        <w:topLinePunct w:val="0"/>
        <w:autoSpaceDE/>
        <w:autoSpaceDN/>
        <w:bidi w:val="0"/>
        <w:spacing w:line="560" w:lineRule="exact"/>
        <w:ind w:left="0" w:firstLine="640" w:firstLineChars="200"/>
        <w:textAlignment w:val="auto"/>
        <w:rPr>
          <w:rFonts w:hint="eastAsia" w:ascii="宋体" w:hAnsi="宋体" w:eastAsia="仿宋_GB2312" w:cs="仿宋_GB2312"/>
          <w:sz w:val="32"/>
          <w:szCs w:val="32"/>
        </w:rPr>
      </w:pPr>
    </w:p>
    <w:p>
      <w:pPr>
        <w:pageBreakBefore w:val="0"/>
        <w:kinsoku/>
        <w:wordWrap/>
        <w:overflowPunct/>
        <w:topLinePunct w:val="0"/>
        <w:autoSpaceDE/>
        <w:autoSpaceDN/>
        <w:bidi w:val="0"/>
        <w:adjustRightInd w:val="0"/>
        <w:snapToGrid w:val="0"/>
        <w:spacing w:line="560" w:lineRule="exact"/>
        <w:ind w:firstLine="4480" w:firstLineChars="1400"/>
        <w:jc w:val="both"/>
        <w:textAlignment w:val="auto"/>
        <w:rPr>
          <w:rFonts w:hint="eastAsia" w:ascii="宋体" w:hAnsi="宋体" w:eastAsia="仿宋_GB2312" w:cs="仿宋_GB2312"/>
          <w:sz w:val="32"/>
          <w:szCs w:val="32"/>
          <w:lang w:eastAsia="zh-CN"/>
        </w:rPr>
      </w:pPr>
      <w:r>
        <w:rPr>
          <w:rFonts w:hint="eastAsia" w:ascii="宋体" w:hAnsi="宋体" w:eastAsia="仿宋_GB2312" w:cs="仿宋_GB2312"/>
          <w:sz w:val="32"/>
          <w:szCs w:val="32"/>
          <w:lang w:eastAsia="zh-CN"/>
        </w:rPr>
        <w:t>中共威海市委统战部</w:t>
      </w:r>
    </w:p>
    <w:p>
      <w:pPr>
        <w:pageBreakBefore w:val="0"/>
        <w:kinsoku/>
        <w:wordWrap/>
        <w:overflowPunct/>
        <w:topLinePunct w:val="0"/>
        <w:autoSpaceDE/>
        <w:autoSpaceDN/>
        <w:bidi w:val="0"/>
        <w:adjustRightInd w:val="0"/>
        <w:snapToGrid w:val="0"/>
        <w:spacing w:line="560" w:lineRule="exact"/>
        <w:ind w:firstLine="4800" w:firstLineChars="1500"/>
        <w:jc w:val="both"/>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2021年3月30日</w:t>
      </w:r>
    </w:p>
    <w:p>
      <w:pPr>
        <w:rPr>
          <w:rFonts w:hint="default" w:ascii="仿宋_GB2312" w:hAnsi="仿宋_GB2312" w:eastAsia="仿宋_GB2312" w:cs="仿宋_GB2312"/>
          <w:sz w:val="32"/>
          <w:szCs w:val="32"/>
          <w:lang w:val="en-US" w:eastAsia="zh-CN"/>
        </w:rPr>
      </w:pPr>
    </w:p>
    <w:sectPr>
      <w:pgSz w:w="11906" w:h="16838"/>
      <w:pgMar w:top="2098" w:right="1474" w:bottom="1984"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9662579"/>
    <w:rsid w:val="21F7425B"/>
    <w:rsid w:val="24CE25EC"/>
    <w:rsid w:val="25D82B4D"/>
    <w:rsid w:val="36EF3F9A"/>
    <w:rsid w:val="408E2FA6"/>
    <w:rsid w:val="441F4EBA"/>
    <w:rsid w:val="44790F2A"/>
    <w:rsid w:val="469B5417"/>
    <w:rsid w:val="471D1192"/>
    <w:rsid w:val="4F7B38DB"/>
    <w:rsid w:val="4FF5FA35"/>
    <w:rsid w:val="63C245CB"/>
    <w:rsid w:val="684F3502"/>
    <w:rsid w:val="6A6C5B8D"/>
    <w:rsid w:val="724D3D2F"/>
    <w:rsid w:val="77767B66"/>
    <w:rsid w:val="7AD11B41"/>
    <w:rsid w:val="7B7F00EC"/>
    <w:rsid w:val="7F5D3207"/>
    <w:rsid w:val="7F6C0517"/>
    <w:rsid w:val="7FEC4F16"/>
    <w:rsid w:val="9D7F31A5"/>
    <w:rsid w:val="ABCBD6E3"/>
    <w:rsid w:val="B5DBA951"/>
    <w:rsid w:val="BF7B285D"/>
    <w:rsid w:val="C3AF9B80"/>
    <w:rsid w:val="CBF6A282"/>
    <w:rsid w:val="DFBEAE1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0"/>
    <w:pPr>
      <w:spacing w:before="100" w:beforeAutospacing="1" w:after="100" w:afterAutospacing="1"/>
      <w:outlineLvl w:val="1"/>
    </w:pPr>
    <w:rPr>
      <w:rFonts w:ascii="宋体" w:hAnsi="宋体" w:eastAsia="宋体" w:cs="宋体"/>
      <w:b/>
      <w:bCs/>
      <w:sz w:val="36"/>
      <w:szCs w:val="36"/>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Kingsoft</Company>
  <Pages>1</Pages>
  <Words>0</Words>
  <Characters>0</Characters>
  <Lines>0</Lines>
  <Paragraphs>0</Paragraphs>
  <TotalTime>40</TotalTime>
  <ScaleCrop>false</ScaleCrop>
  <LinksUpToDate>false</LinksUpToDate>
  <CharactersWithSpaces>0</CharactersWithSpaces>
  <Application>WPS Office_11.8.2.9980_F1E327BC-269C-435d-A152-05C5408002CA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2014-11-02T04:08:00Z</dcterms:created>
  <dc:creator>Administrator</dc:creator>
  <cp:lastModifiedBy>user</cp:lastModifiedBy>
  <cp:lastPrinted>2021-04-02T07:22:00Z</cp:lastPrinted>
  <dcterms:modified xsi:type="dcterms:W3CDTF">2021-12-20T08:57:06Z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ies>
</file>