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right"/>
        <w:rPr>
          <w:rFonts w:ascii="黑体" w:hAnsi="黑体" w:eastAsia="黑体"/>
          <w:sz w:val="32"/>
          <w:szCs w:val="32"/>
          <w:highlight w:val="none"/>
        </w:rPr>
      </w:pPr>
    </w:p>
    <w:p>
      <w:pPr>
        <w:spacing w:line="580" w:lineRule="exact"/>
        <w:jc w:val="right"/>
        <w:rPr>
          <w:rFonts w:ascii="黑体" w:hAnsi="黑体" w:eastAsia="黑体"/>
          <w:sz w:val="32"/>
          <w:szCs w:val="32"/>
          <w:highlight w:val="none"/>
        </w:rPr>
      </w:pPr>
    </w:p>
    <w:p>
      <w:pPr>
        <w:jc w:val="center"/>
        <w:rPr>
          <w:rFonts w:ascii="方正小标宋简体" w:eastAsia="方正小标宋简体"/>
          <w:sz w:val="52"/>
          <w:szCs w:val="52"/>
          <w:highlight w:val="none"/>
        </w:rPr>
      </w:pPr>
    </w:p>
    <w:p>
      <w:pPr>
        <w:jc w:val="center"/>
        <w:rPr>
          <w:rFonts w:ascii="方正小标宋简体" w:eastAsia="方正小标宋简体"/>
          <w:sz w:val="52"/>
          <w:szCs w:val="52"/>
          <w:highlight w:val="none"/>
        </w:rPr>
      </w:pPr>
    </w:p>
    <w:p>
      <w:pPr>
        <w:jc w:val="center"/>
        <w:rPr>
          <w:rFonts w:ascii="方正小标宋简体" w:eastAsia="方正小标宋简体"/>
          <w:sz w:val="52"/>
          <w:szCs w:val="52"/>
          <w:highlight w:val="none"/>
        </w:rPr>
      </w:pPr>
    </w:p>
    <w:p>
      <w:pPr>
        <w:jc w:val="center"/>
        <w:rPr>
          <w:rFonts w:ascii="方正小标宋简体" w:eastAsia="方正小标宋简体"/>
          <w:sz w:val="52"/>
          <w:szCs w:val="52"/>
          <w:highlight w:val="none"/>
        </w:rPr>
      </w:pPr>
      <w:r>
        <w:rPr>
          <w:rFonts w:hint="eastAsia" w:ascii="方正小标宋简体" w:eastAsia="方正小标宋简体"/>
          <w:sz w:val="52"/>
          <w:szCs w:val="52"/>
          <w:highlight w:val="none"/>
          <w:lang w:eastAsia="zh-CN"/>
        </w:rPr>
        <w:t>2023</w:t>
      </w:r>
      <w:r>
        <w:rPr>
          <w:rFonts w:hint="eastAsia" w:ascii="方正小标宋简体" w:eastAsia="方正小标宋简体"/>
          <w:sz w:val="52"/>
          <w:szCs w:val="52"/>
          <w:highlight w:val="none"/>
        </w:rPr>
        <w:t>年</w:t>
      </w:r>
      <w:r>
        <w:rPr>
          <w:rFonts w:hint="eastAsia" w:ascii="方正小标宋简体" w:eastAsia="方正小标宋简体"/>
          <w:sz w:val="52"/>
          <w:szCs w:val="52"/>
          <w:highlight w:val="none"/>
          <w:lang w:eastAsia="zh-CN"/>
        </w:rPr>
        <w:t>中国共产党威海市委员会统一战线工作部</w:t>
      </w:r>
      <w:r>
        <w:rPr>
          <w:rFonts w:hint="eastAsia" w:ascii="方正小标宋简体" w:eastAsia="方正小标宋简体"/>
          <w:sz w:val="52"/>
          <w:szCs w:val="52"/>
          <w:highlight w:val="none"/>
          <w:lang w:val="en-US" w:eastAsia="zh-CN"/>
        </w:rPr>
        <w:t>部门</w:t>
      </w:r>
      <w:r>
        <w:rPr>
          <w:rFonts w:hint="eastAsia" w:ascii="方正小标宋简体" w:eastAsia="方正小标宋简体"/>
          <w:sz w:val="52"/>
          <w:szCs w:val="52"/>
          <w:highlight w:val="none"/>
        </w:rPr>
        <w:t>预算</w:t>
      </w:r>
    </w:p>
    <w:p>
      <w:pPr>
        <w:jc w:val="center"/>
        <w:rPr>
          <w:rFonts w:ascii="方正小标宋简体" w:eastAsia="方正小标宋简体"/>
          <w:sz w:val="52"/>
          <w:szCs w:val="52"/>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spacing w:line="580" w:lineRule="exact"/>
        <w:jc w:val="center"/>
        <w:rPr>
          <w:rFonts w:ascii="黑体" w:eastAsia="黑体"/>
          <w:sz w:val="44"/>
          <w:szCs w:val="44"/>
          <w:highlight w:val="none"/>
        </w:rPr>
      </w:pPr>
      <w:r>
        <w:rPr>
          <w:highlight w:val="none"/>
        </w:rPr>
        <w:br w:type="page"/>
      </w:r>
      <w:r>
        <w:rPr>
          <w:rFonts w:hint="eastAsia" w:ascii="黑体" w:eastAsia="黑体"/>
          <w:sz w:val="44"/>
          <w:szCs w:val="44"/>
          <w:highlight w:val="none"/>
        </w:rPr>
        <w:t>目  录</w:t>
      </w:r>
    </w:p>
    <w:p>
      <w:pPr>
        <w:spacing w:line="580" w:lineRule="exact"/>
        <w:rPr>
          <w:rFonts w:ascii="黑体" w:eastAsia="黑体"/>
          <w:sz w:val="36"/>
          <w:szCs w:val="36"/>
          <w:highlight w:val="none"/>
        </w:rPr>
      </w:pPr>
      <w:r>
        <w:rPr>
          <w:rFonts w:hint="eastAsia" w:ascii="黑体" w:eastAsia="黑体"/>
          <w:sz w:val="36"/>
          <w:szCs w:val="36"/>
          <w:highlight w:val="none"/>
        </w:rPr>
        <w:t>第一部分</w:t>
      </w:r>
      <w:r>
        <w:rPr>
          <w:rFonts w:hint="eastAsia" w:ascii="黑体" w:hAnsi="黑体" w:eastAsia="黑体"/>
          <w:sz w:val="36"/>
          <w:szCs w:val="36"/>
          <w:highlight w:val="none"/>
        </w:rPr>
        <w:t xml:space="preserve"> </w:t>
      </w:r>
      <w:r>
        <w:rPr>
          <w:rFonts w:hint="eastAsia" w:ascii="黑体" w:eastAsia="黑体"/>
          <w:sz w:val="36"/>
          <w:szCs w:val="36"/>
          <w:highlight w:val="none"/>
          <w:lang w:eastAsia="zh-CN"/>
        </w:rPr>
        <w:t>部门</w:t>
      </w:r>
      <w:r>
        <w:rPr>
          <w:rFonts w:hint="eastAsia" w:ascii="黑体" w:eastAsia="黑体"/>
          <w:sz w:val="36"/>
          <w:szCs w:val="36"/>
          <w:highlight w:val="none"/>
        </w:rPr>
        <w:t>概况</w:t>
      </w:r>
    </w:p>
    <w:p>
      <w:pPr>
        <w:spacing w:line="580" w:lineRule="exact"/>
        <w:ind w:firstLine="640" w:firstLineChars="200"/>
        <w:rPr>
          <w:rFonts w:hint="eastAsia" w:ascii="楷体_GB2312" w:eastAsia="楷体_GB2312"/>
          <w:sz w:val="32"/>
          <w:szCs w:val="32"/>
          <w:highlight w:val="none"/>
          <w:lang w:eastAsia="zh-CN"/>
        </w:rPr>
      </w:pPr>
      <w:r>
        <w:rPr>
          <w:rFonts w:hint="eastAsia" w:ascii="楷体_GB2312" w:eastAsia="楷体_GB2312"/>
          <w:sz w:val="32"/>
          <w:szCs w:val="32"/>
          <w:highlight w:val="none"/>
        </w:rPr>
        <w:t>一、主要</w:t>
      </w:r>
      <w:r>
        <w:rPr>
          <w:rFonts w:hint="eastAsia" w:ascii="楷体_GB2312" w:eastAsia="楷体_GB2312"/>
          <w:sz w:val="32"/>
          <w:szCs w:val="32"/>
          <w:highlight w:val="none"/>
          <w:lang w:val="en-US" w:eastAsia="zh-CN"/>
        </w:rPr>
        <w:t>职责</w:t>
      </w:r>
    </w:p>
    <w:p>
      <w:pPr>
        <w:spacing w:line="580" w:lineRule="exact"/>
        <w:ind w:firstLine="640" w:firstLineChars="200"/>
        <w:rPr>
          <w:rFonts w:hint="default" w:ascii="楷体_GB2312" w:eastAsia="楷体_GB2312"/>
          <w:sz w:val="32"/>
          <w:szCs w:val="32"/>
          <w:highlight w:val="none"/>
          <w:lang w:val="en-US" w:eastAsia="zh-CN"/>
        </w:rPr>
      </w:pPr>
      <w:r>
        <w:rPr>
          <w:rFonts w:hint="eastAsia" w:ascii="楷体_GB2312" w:eastAsia="楷体_GB2312"/>
          <w:sz w:val="32"/>
          <w:szCs w:val="32"/>
          <w:highlight w:val="none"/>
        </w:rPr>
        <w:t>二、</w:t>
      </w:r>
      <w:r>
        <w:rPr>
          <w:rFonts w:hint="eastAsia" w:ascii="楷体_GB2312" w:eastAsia="楷体_GB2312"/>
          <w:sz w:val="32"/>
          <w:szCs w:val="32"/>
          <w:highlight w:val="none"/>
          <w:lang w:val="en-US" w:eastAsia="zh-CN"/>
        </w:rPr>
        <w:t>机构设置情况</w:t>
      </w:r>
    </w:p>
    <w:p>
      <w:pPr>
        <w:spacing w:line="580" w:lineRule="exact"/>
        <w:rPr>
          <w:rFonts w:ascii="黑体" w:eastAsia="黑体"/>
          <w:sz w:val="36"/>
          <w:szCs w:val="36"/>
          <w:highlight w:val="none"/>
        </w:rPr>
      </w:pPr>
      <w:r>
        <w:rPr>
          <w:rFonts w:hint="eastAsia" w:ascii="黑体" w:eastAsia="黑体"/>
          <w:sz w:val="36"/>
          <w:szCs w:val="36"/>
          <w:highlight w:val="none"/>
        </w:rPr>
        <w:t xml:space="preserve">第二部分 </w:t>
      </w:r>
      <w:r>
        <w:rPr>
          <w:rFonts w:hint="eastAsia" w:ascii="黑体" w:eastAsia="黑体"/>
          <w:sz w:val="36"/>
          <w:szCs w:val="36"/>
          <w:highlight w:val="none"/>
          <w:lang w:eastAsia="zh-CN"/>
        </w:rPr>
        <w:t>2023</w:t>
      </w:r>
      <w:r>
        <w:rPr>
          <w:rFonts w:hint="eastAsia" w:ascii="黑体" w:eastAsia="黑体"/>
          <w:sz w:val="36"/>
          <w:szCs w:val="36"/>
          <w:highlight w:val="none"/>
        </w:rPr>
        <w:t>年部门预算表</w:t>
      </w:r>
    </w:p>
    <w:p>
      <w:pPr>
        <w:spacing w:line="580" w:lineRule="exact"/>
        <w:ind w:firstLine="640" w:firstLineChars="200"/>
        <w:rPr>
          <w:rFonts w:hint="default" w:ascii="楷体_GB2312" w:eastAsia="楷体_GB2312"/>
          <w:sz w:val="32"/>
          <w:szCs w:val="32"/>
          <w:highlight w:val="none"/>
          <w:lang w:val="en-US" w:eastAsia="zh-CN"/>
        </w:rPr>
      </w:pPr>
      <w:r>
        <w:rPr>
          <w:rFonts w:hint="eastAsia" w:ascii="楷体_GB2312" w:eastAsia="楷体_GB2312"/>
          <w:sz w:val="32"/>
          <w:szCs w:val="32"/>
          <w:highlight w:val="none"/>
        </w:rPr>
        <w:t>一、收支</w:t>
      </w:r>
      <w:r>
        <w:rPr>
          <w:rFonts w:hint="eastAsia" w:ascii="楷体_GB2312" w:eastAsia="楷体_GB2312"/>
          <w:sz w:val="32"/>
          <w:szCs w:val="32"/>
          <w:highlight w:val="none"/>
          <w:lang w:val="en-US" w:eastAsia="zh-CN"/>
        </w:rPr>
        <w:t>总体情况表</w:t>
      </w:r>
    </w:p>
    <w:p>
      <w:pPr>
        <w:spacing w:line="580" w:lineRule="exact"/>
        <w:ind w:firstLine="640" w:firstLineChars="200"/>
        <w:rPr>
          <w:rFonts w:hint="default" w:ascii="楷体_GB2312" w:eastAsia="楷体_GB2312"/>
          <w:sz w:val="32"/>
          <w:szCs w:val="32"/>
          <w:highlight w:val="none"/>
          <w:lang w:val="en-US" w:eastAsia="zh-CN"/>
        </w:rPr>
      </w:pPr>
      <w:r>
        <w:rPr>
          <w:rFonts w:hint="eastAsia" w:ascii="楷体_GB2312" w:eastAsia="楷体_GB2312"/>
          <w:sz w:val="32"/>
          <w:szCs w:val="32"/>
          <w:highlight w:val="none"/>
        </w:rPr>
        <w:t>二、收入</w:t>
      </w:r>
      <w:r>
        <w:rPr>
          <w:rFonts w:hint="eastAsia" w:ascii="楷体_GB2312" w:eastAsia="楷体_GB2312"/>
          <w:sz w:val="32"/>
          <w:szCs w:val="32"/>
          <w:highlight w:val="none"/>
          <w:lang w:val="en-US" w:eastAsia="zh-CN"/>
        </w:rPr>
        <w:t>总体情况表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三、支出</w:t>
      </w:r>
      <w:r>
        <w:rPr>
          <w:rFonts w:hint="eastAsia" w:ascii="楷体_GB2312" w:eastAsia="楷体_GB2312"/>
          <w:sz w:val="32"/>
          <w:szCs w:val="32"/>
          <w:highlight w:val="none"/>
          <w:lang w:val="en-US" w:eastAsia="zh-CN"/>
        </w:rPr>
        <w:t>总体情况表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四、财政拨款收支总体情况表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五、一般公共预算支出</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六、一般公共预算基本支出</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七、一般公共预算“三公”经费支出情况表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rPr>
        <w:t>八、政府性基金预算支出情况表</w:t>
      </w:r>
    </w:p>
    <w:p>
      <w:pPr>
        <w:spacing w:line="580" w:lineRule="exact"/>
        <w:ind w:firstLine="640" w:firstLineChars="200"/>
        <w:rPr>
          <w:rFonts w:hint="eastAsia" w:ascii="楷体_GB2312" w:eastAsia="楷体_GB2312"/>
          <w:sz w:val="32"/>
          <w:szCs w:val="32"/>
          <w:highlight w:val="none"/>
        </w:rPr>
      </w:pPr>
      <w:r>
        <w:rPr>
          <w:rFonts w:hint="eastAsia" w:ascii="楷体_GB2312" w:eastAsia="楷体_GB2312"/>
          <w:sz w:val="32"/>
          <w:szCs w:val="32"/>
          <w:highlight w:val="none"/>
          <w:lang w:val="en-US" w:eastAsia="zh-CN"/>
        </w:rPr>
        <w:t>九</w:t>
      </w:r>
      <w:r>
        <w:rPr>
          <w:rFonts w:hint="eastAsia" w:ascii="楷体_GB2312" w:eastAsia="楷体_GB2312"/>
          <w:sz w:val="32"/>
          <w:szCs w:val="32"/>
          <w:highlight w:val="none"/>
        </w:rPr>
        <w:t>、国有资本经营预算支出</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ascii="楷体_GB2312" w:eastAsia="楷体_GB2312"/>
          <w:sz w:val="32"/>
          <w:szCs w:val="32"/>
          <w:highlight w:val="none"/>
        </w:rPr>
      </w:pPr>
      <w:r>
        <w:rPr>
          <w:rFonts w:hint="eastAsia" w:ascii="楷体_GB2312" w:eastAsia="楷体_GB2312"/>
          <w:sz w:val="32"/>
          <w:szCs w:val="32"/>
          <w:highlight w:val="none"/>
          <w:lang w:val="en-US" w:eastAsia="zh-CN"/>
        </w:rPr>
        <w:t>十</w:t>
      </w:r>
      <w:r>
        <w:rPr>
          <w:rFonts w:hint="eastAsia" w:ascii="楷体_GB2312" w:eastAsia="楷体_GB2312"/>
          <w:sz w:val="32"/>
          <w:szCs w:val="32"/>
          <w:highlight w:val="none"/>
        </w:rPr>
        <w:t>、基本支出预算</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hint="eastAsia" w:ascii="楷体_GB2312" w:eastAsia="楷体_GB2312"/>
          <w:sz w:val="32"/>
          <w:szCs w:val="32"/>
          <w:highlight w:val="none"/>
        </w:rPr>
      </w:pPr>
      <w:r>
        <w:rPr>
          <w:rFonts w:hint="eastAsia" w:ascii="楷体_GB2312" w:eastAsia="楷体_GB2312"/>
          <w:sz w:val="32"/>
          <w:szCs w:val="32"/>
          <w:highlight w:val="none"/>
          <w:lang w:val="en-US" w:eastAsia="zh-CN"/>
        </w:rPr>
        <w:t>十一</w:t>
      </w:r>
      <w:r>
        <w:rPr>
          <w:rFonts w:hint="eastAsia" w:ascii="楷体_GB2312" w:eastAsia="楷体_GB2312"/>
          <w:sz w:val="32"/>
          <w:szCs w:val="32"/>
          <w:highlight w:val="none"/>
        </w:rPr>
        <w:t>、项目支出预算</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firstLine="640" w:firstLineChars="200"/>
        <w:rPr>
          <w:rFonts w:hint="default" w:ascii="楷体_GB2312" w:eastAsia="楷体_GB2312"/>
          <w:sz w:val="32"/>
          <w:szCs w:val="32"/>
          <w:highlight w:val="none"/>
          <w:lang w:val="en-US" w:eastAsia="zh-CN"/>
        </w:rPr>
      </w:pPr>
      <w:r>
        <w:rPr>
          <w:rFonts w:hint="eastAsia" w:ascii="楷体_GB2312" w:eastAsia="楷体_GB2312"/>
          <w:sz w:val="32"/>
          <w:szCs w:val="32"/>
          <w:highlight w:val="none"/>
          <w:lang w:val="en-US" w:eastAsia="zh-CN"/>
        </w:rPr>
        <w:t>十二、</w:t>
      </w:r>
      <w:r>
        <w:rPr>
          <w:rFonts w:hint="eastAsia" w:ascii="楷体_GB2312" w:eastAsia="楷体_GB2312"/>
          <w:sz w:val="32"/>
          <w:szCs w:val="32"/>
          <w:highlight w:val="none"/>
        </w:rPr>
        <w:t>政府采购预算</w:t>
      </w:r>
      <w:r>
        <w:rPr>
          <w:rFonts w:hint="eastAsia" w:ascii="楷体_GB2312" w:eastAsia="楷体_GB2312"/>
          <w:sz w:val="32"/>
          <w:szCs w:val="32"/>
          <w:highlight w:val="none"/>
          <w:lang w:val="en-US" w:eastAsia="zh-CN"/>
        </w:rPr>
        <w:t>情况</w:t>
      </w:r>
      <w:r>
        <w:rPr>
          <w:rFonts w:hint="eastAsia" w:ascii="楷体_GB2312" w:eastAsia="楷体_GB2312"/>
          <w:sz w:val="32"/>
          <w:szCs w:val="32"/>
          <w:highlight w:val="none"/>
        </w:rPr>
        <w:t>表</w:t>
      </w:r>
    </w:p>
    <w:p>
      <w:pPr>
        <w:spacing w:line="580" w:lineRule="exact"/>
        <w:ind w:left="1602" w:hanging="1601" w:hangingChars="445"/>
        <w:rPr>
          <w:rFonts w:ascii="黑体" w:eastAsia="黑体"/>
          <w:sz w:val="36"/>
          <w:szCs w:val="36"/>
          <w:highlight w:val="none"/>
        </w:rPr>
      </w:pPr>
      <w:r>
        <w:rPr>
          <w:rFonts w:hint="eastAsia" w:ascii="黑体" w:eastAsia="黑体"/>
          <w:sz w:val="36"/>
          <w:szCs w:val="36"/>
          <w:highlight w:val="none"/>
        </w:rPr>
        <w:t xml:space="preserve">第三部分 </w:t>
      </w:r>
      <w:r>
        <w:rPr>
          <w:rFonts w:hint="eastAsia" w:ascii="黑体" w:eastAsia="黑体"/>
          <w:sz w:val="36"/>
          <w:szCs w:val="36"/>
          <w:highlight w:val="none"/>
          <w:lang w:eastAsia="zh-CN"/>
        </w:rPr>
        <w:t>2023</w:t>
      </w:r>
      <w:r>
        <w:rPr>
          <w:rFonts w:hint="eastAsia" w:ascii="黑体" w:eastAsia="黑体"/>
          <w:sz w:val="36"/>
          <w:szCs w:val="36"/>
          <w:highlight w:val="none"/>
        </w:rPr>
        <w:t>年部门预算情况和重要事项说明</w:t>
      </w:r>
    </w:p>
    <w:p>
      <w:pPr>
        <w:rPr>
          <w:rFonts w:ascii="黑体" w:eastAsia="黑体"/>
          <w:sz w:val="36"/>
          <w:szCs w:val="36"/>
          <w:highlight w:val="none"/>
        </w:rPr>
      </w:pPr>
      <w:r>
        <w:rPr>
          <w:rFonts w:hint="eastAsia" w:ascii="黑体" w:eastAsia="黑体"/>
          <w:sz w:val="36"/>
          <w:szCs w:val="36"/>
          <w:highlight w:val="none"/>
        </w:rPr>
        <w:t>第四部分 名词解释</w:t>
      </w:r>
    </w:p>
    <w:p>
      <w:pPr>
        <w:widowControl/>
        <w:spacing w:line="20" w:lineRule="exact"/>
        <w:jc w:val="left"/>
        <w:rPr>
          <w:rFonts w:ascii="黑体" w:eastAsia="黑体"/>
          <w:sz w:val="36"/>
          <w:szCs w:val="36"/>
          <w:highlight w:val="none"/>
        </w:rPr>
      </w:pPr>
      <w:r>
        <w:rPr>
          <w:rFonts w:ascii="黑体" w:eastAsia="黑体"/>
          <w:sz w:val="36"/>
          <w:szCs w:val="36"/>
          <w:highlight w:val="none"/>
        </w:rPr>
        <w:br w:type="page"/>
      </w:r>
    </w:p>
    <w:p>
      <w:pPr>
        <w:rPr>
          <w:rFonts w:ascii="黑体" w:eastAsia="黑体"/>
          <w:sz w:val="52"/>
          <w:szCs w:val="52"/>
          <w:highlight w:val="none"/>
        </w:rPr>
      </w:pPr>
      <w:r>
        <w:rPr>
          <w:rFonts w:hint="eastAsia" w:ascii="黑体" w:eastAsia="黑体"/>
          <w:sz w:val="52"/>
          <w:szCs w:val="52"/>
          <w:highlight w:val="none"/>
        </w:rPr>
        <w:t>第一部分</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r>
        <w:rPr>
          <w:rFonts w:hint="eastAsia" w:ascii="黑体" w:eastAsia="黑体"/>
          <w:sz w:val="52"/>
          <w:szCs w:val="52"/>
          <w:highlight w:val="none"/>
          <w:lang w:val="en-US" w:eastAsia="zh-CN"/>
        </w:rPr>
        <w:t>部门</w:t>
      </w:r>
      <w:r>
        <w:rPr>
          <w:rFonts w:hint="eastAsia" w:ascii="黑体" w:eastAsia="黑体"/>
          <w:sz w:val="52"/>
          <w:szCs w:val="52"/>
          <w:highlight w:val="none"/>
        </w:rPr>
        <w:t>概况</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spacing w:line="580" w:lineRule="exact"/>
        <w:ind w:firstLine="722" w:firstLineChars="200"/>
        <w:rPr>
          <w:rFonts w:hint="eastAsia" w:ascii="黑体" w:eastAsia="黑体"/>
          <w:sz w:val="32"/>
          <w:szCs w:val="32"/>
          <w:highlight w:val="none"/>
          <w:lang w:val="en-US" w:eastAsia="zh-CN"/>
        </w:rPr>
      </w:pPr>
      <w:r>
        <w:rPr>
          <w:rFonts w:ascii="黑体" w:eastAsia="黑体"/>
          <w:b/>
          <w:sz w:val="36"/>
          <w:szCs w:val="36"/>
          <w:highlight w:val="none"/>
        </w:rPr>
        <w:br w:type="page"/>
      </w:r>
      <w:r>
        <w:rPr>
          <w:rFonts w:hint="eastAsia" w:ascii="黑体" w:eastAsia="黑体"/>
          <w:bCs/>
          <w:sz w:val="36"/>
          <w:szCs w:val="36"/>
          <w:highlight w:val="none"/>
        </w:rPr>
        <w:t>一、</w:t>
      </w:r>
      <w:r>
        <w:rPr>
          <w:rFonts w:hint="eastAsia" w:ascii="黑体" w:eastAsia="黑体"/>
          <w:sz w:val="32"/>
          <w:szCs w:val="32"/>
          <w:highlight w:val="none"/>
        </w:rPr>
        <w:t>主要</w:t>
      </w:r>
      <w:r>
        <w:rPr>
          <w:rFonts w:hint="eastAsia" w:ascii="黑体" w:eastAsia="黑体"/>
          <w:sz w:val="32"/>
          <w:szCs w:val="32"/>
          <w:highlight w:val="none"/>
          <w:lang w:val="en-US" w:eastAsia="zh-CN"/>
        </w:rPr>
        <w:t>职责</w:t>
      </w:r>
    </w:p>
    <w:p>
      <w:pPr>
        <w:widowControl/>
        <w:shd w:val="clear" w:color="auto" w:fill="FFFFFF"/>
        <w:spacing w:line="420" w:lineRule="atLeast"/>
        <w:ind w:firstLine="480" w:firstLineChars="15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（一）组织贯彻执行中央和省、市委关于统一战线的方针政策，开展调查研究，结合威海的实际，提出具体落实措施；向市委反映情况，提出开展统一战线工作的意见和建议。</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二）负责联系各民主党派和无党派代表人士，及时通报情况，反映他们的意见和建议；贯彻落实中国共产党领导的多党合作和政治协商制度及党对民主党派的方针、政策；落实中央及省、市委关于发挥民主党派参政议政和民主监督作用的工作；支持、帮助各民主党派加强自身建设，选拔、培养新一代代表人物。</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三）负责党外人士的政治安排和社会安排，会同有关部门培养、选拔、推荐党外人士担任领导职务；负责党外后备干部和新的代表人物队伍的建设工作；会同有关部门调查、研究、解决贯彻执行中国共产党领导的多党合作和政治协商制度中存在的问题。</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（四）负责联系海内外工商界社团和代表人士；调查研究并反映全市非公有制经济代表人物的情况，加强联系，协调关系，提出政策建议。</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（五）负责开展我市的以祖国统一为重点的海外统战工作，联系海外有关社团及代表人士；归口管理台湾在野党派、政治团体的来访工作；指导台胞台属工作。</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（六）负责调查研究、协调检查有关民族、宗教工作的方针、政策问题；联系少数民族和宗教界代表人物；协助有关部门培养和举荐少数民族干部。</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（七）调查了解党外知识分子情况，反映意见，协调关系，提出政策建议，联系和培养党外知识分子的代表人物。</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（八）负责开展海内外统一战线宣传工作。</w:t>
      </w:r>
    </w:p>
    <w:p>
      <w:pPr>
        <w:widowControl/>
        <w:shd w:val="clear" w:color="auto" w:fill="FFFFFF"/>
        <w:spacing w:line="420" w:lineRule="atLeast"/>
        <w:ind w:firstLine="320" w:firstLineChars="100"/>
        <w:jc w:val="left"/>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九）指导各市区党委统战部和开发区、高校、大企业党委的统战工作，联系指导市工商联工作；协调政府有关部门的统战工作；管理、协调海外联谊会、台湾同胞联谊会等有关工作；与有关部门协调管理市社会主义学院。</w:t>
      </w:r>
    </w:p>
    <w:p>
      <w:pPr>
        <w:spacing w:line="580" w:lineRule="exact"/>
        <w:ind w:firstLine="640" w:firstLineChars="200"/>
        <w:rPr>
          <w:rFonts w:hint="eastAsia" w:ascii="仿宋" w:hAnsi="仿宋" w:eastAsia="仿宋" w:cs="仿宋"/>
          <w:color w:val="000000"/>
          <w:kern w:val="0"/>
          <w:sz w:val="32"/>
          <w:szCs w:val="32"/>
          <w:highlight w:val="none"/>
        </w:rPr>
      </w:pPr>
      <w:r>
        <w:rPr>
          <w:rFonts w:hint="eastAsia" w:ascii="仿宋" w:hAnsi="仿宋" w:eastAsia="仿宋" w:cs="仿宋"/>
          <w:color w:val="000000"/>
          <w:kern w:val="0"/>
          <w:sz w:val="32"/>
          <w:szCs w:val="32"/>
          <w:highlight w:val="none"/>
        </w:rPr>
        <w:t>（十）完成市委和上级统战部交办的其他工作。</w:t>
      </w:r>
    </w:p>
    <w:p>
      <w:pPr>
        <w:spacing w:line="580" w:lineRule="exact"/>
        <w:ind w:firstLine="640" w:firstLineChars="200"/>
        <w:rPr>
          <w:rFonts w:hint="default" w:ascii="黑体" w:eastAsia="黑体"/>
          <w:sz w:val="32"/>
          <w:szCs w:val="32"/>
          <w:highlight w:val="none"/>
          <w:lang w:val="en-US" w:eastAsia="zh-CN"/>
        </w:rPr>
      </w:pPr>
      <w:r>
        <w:rPr>
          <w:rFonts w:hint="eastAsia" w:ascii="黑体" w:eastAsia="黑体"/>
          <w:sz w:val="32"/>
          <w:szCs w:val="32"/>
          <w:highlight w:val="none"/>
        </w:rPr>
        <w:t>二、</w:t>
      </w:r>
      <w:r>
        <w:rPr>
          <w:rFonts w:hint="eastAsia" w:ascii="黑体" w:eastAsia="黑体"/>
          <w:sz w:val="32"/>
          <w:szCs w:val="32"/>
          <w:highlight w:val="none"/>
          <w:lang w:val="en-US" w:eastAsia="zh-CN"/>
        </w:rPr>
        <w:t>机构设置情况</w:t>
      </w:r>
    </w:p>
    <w:p>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仿宋" w:hAnsi="仿宋" w:eastAsia="仿宋" w:cs="仿宋"/>
          <w:sz w:val="32"/>
          <w:szCs w:val="32"/>
          <w:highlight w:val="none"/>
          <w:lang w:eastAsia="zh-CN"/>
        </w:rPr>
      </w:pPr>
      <w:r>
        <w:rPr>
          <w:rFonts w:hint="eastAsia" w:ascii="仿宋_GB2312" w:hAnsi="宋体" w:eastAsia="仿宋_GB2312" w:cs="Courier New"/>
          <w:sz w:val="32"/>
          <w:szCs w:val="32"/>
          <w:highlight w:val="none"/>
          <w:lang w:eastAsia="zh-CN"/>
        </w:rPr>
        <w:t>中国共产党威海市委员会统一战线工作部</w:t>
      </w:r>
      <w:r>
        <w:rPr>
          <w:rFonts w:hint="eastAsia" w:ascii="仿宋_GB2312" w:hAnsi="宋体" w:eastAsia="仿宋_GB2312" w:cs="Courier New"/>
          <w:sz w:val="32"/>
          <w:szCs w:val="32"/>
          <w:highlight w:val="none"/>
        </w:rPr>
        <w:t>部门预算包括：</w:t>
      </w:r>
      <w:r>
        <w:rPr>
          <w:rFonts w:hint="eastAsia" w:ascii="仿宋" w:hAnsi="仿宋" w:eastAsia="仿宋" w:cs="仿宋"/>
          <w:sz w:val="32"/>
          <w:szCs w:val="32"/>
          <w:highlight w:val="none"/>
        </w:rPr>
        <w:t>威海市委</w:t>
      </w:r>
      <w:r>
        <w:rPr>
          <w:rFonts w:hint="eastAsia" w:ascii="仿宋" w:hAnsi="仿宋" w:eastAsia="仿宋" w:cs="仿宋"/>
          <w:sz w:val="32"/>
          <w:szCs w:val="32"/>
          <w:highlight w:val="none"/>
          <w:lang w:eastAsia="zh-CN"/>
        </w:rPr>
        <w:t>统战部</w:t>
      </w:r>
      <w:r>
        <w:rPr>
          <w:rFonts w:hint="eastAsia" w:ascii="仿宋" w:hAnsi="仿宋" w:eastAsia="仿宋" w:cs="仿宋"/>
          <w:sz w:val="32"/>
          <w:szCs w:val="32"/>
          <w:highlight w:val="none"/>
        </w:rPr>
        <w:t>机关</w:t>
      </w:r>
      <w:r>
        <w:rPr>
          <w:rFonts w:hint="eastAsia" w:ascii="仿宋" w:hAnsi="仿宋" w:eastAsia="仿宋" w:cs="仿宋"/>
          <w:sz w:val="32"/>
          <w:szCs w:val="32"/>
          <w:highlight w:val="none"/>
          <w:lang w:eastAsia="zh-CN"/>
        </w:rPr>
        <w:t>预算、下属单位预算。</w:t>
      </w:r>
    </w:p>
    <w:p>
      <w:pPr>
        <w:spacing w:line="580" w:lineRule="exact"/>
        <w:ind w:firstLine="640" w:firstLineChars="200"/>
        <w:rPr>
          <w:rFonts w:ascii="仿宋_GB2312" w:hAnsi="宋体" w:eastAsia="仿宋_GB2312" w:cs="Courier New"/>
          <w:sz w:val="32"/>
          <w:szCs w:val="32"/>
          <w:highlight w:val="none"/>
        </w:rPr>
      </w:pPr>
      <w:r>
        <w:rPr>
          <w:rFonts w:hint="eastAsia" w:ascii="仿宋_GB2312" w:hAnsi="宋体" w:eastAsia="仿宋_GB2312" w:cs="Courier New"/>
          <w:sz w:val="32"/>
          <w:szCs w:val="32"/>
          <w:highlight w:val="none"/>
        </w:rPr>
        <w:t>纳入</w:t>
      </w:r>
      <w:r>
        <w:rPr>
          <w:rFonts w:hint="eastAsia" w:ascii="仿宋_GB2312" w:hAnsi="宋体" w:eastAsia="仿宋_GB2312" w:cs="Courier New"/>
          <w:sz w:val="32"/>
          <w:szCs w:val="32"/>
          <w:highlight w:val="none"/>
          <w:lang w:eastAsia="zh-CN"/>
        </w:rPr>
        <w:t>中国共产党威海市委员会统一战线工作部</w:t>
      </w:r>
      <w:r>
        <w:rPr>
          <w:rFonts w:hint="eastAsia" w:ascii="仿宋_GB2312" w:hAnsi="宋体" w:eastAsia="仿宋_GB2312" w:cs="Courier New"/>
          <w:sz w:val="32"/>
          <w:szCs w:val="32"/>
          <w:highlight w:val="none"/>
        </w:rPr>
        <w:t>202</w:t>
      </w:r>
      <w:r>
        <w:rPr>
          <w:rFonts w:hint="eastAsia" w:ascii="仿宋_GB2312" w:hAnsi="宋体" w:eastAsia="仿宋_GB2312" w:cs="Courier New"/>
          <w:sz w:val="32"/>
          <w:szCs w:val="32"/>
          <w:highlight w:val="none"/>
          <w:lang w:val="en-US" w:eastAsia="zh-CN"/>
        </w:rPr>
        <w:t>3</w:t>
      </w:r>
      <w:r>
        <w:rPr>
          <w:rFonts w:hint="eastAsia" w:ascii="仿宋_GB2312" w:hAnsi="宋体" w:eastAsia="仿宋_GB2312" w:cs="Courier New"/>
          <w:sz w:val="32"/>
          <w:szCs w:val="32"/>
          <w:highlight w:val="none"/>
        </w:rPr>
        <w:t>年部门预算编制范围的二级预算单位包括：</w:t>
      </w:r>
    </w:p>
    <w:p>
      <w:pPr>
        <w:keepNext w:val="0"/>
        <w:keepLines w:val="0"/>
        <w:pageBreakBefore w:val="0"/>
        <w:widowControl w:val="0"/>
        <w:numPr>
          <w:ilvl w:val="0"/>
          <w:numId w:val="1"/>
        </w:numPr>
        <w:kinsoku/>
        <w:wordWrap/>
        <w:overflowPunct/>
        <w:topLinePunct w:val="0"/>
        <w:autoSpaceDE/>
        <w:autoSpaceDN/>
        <w:bidi w:val="0"/>
        <w:adjustRightIn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威海市委</w:t>
      </w:r>
      <w:r>
        <w:rPr>
          <w:rFonts w:hint="eastAsia" w:ascii="仿宋" w:hAnsi="仿宋" w:eastAsia="仿宋" w:cs="仿宋"/>
          <w:sz w:val="32"/>
          <w:szCs w:val="32"/>
          <w:highlight w:val="none"/>
          <w:lang w:eastAsia="zh-CN"/>
        </w:rPr>
        <w:t>统战部</w:t>
      </w:r>
      <w:r>
        <w:rPr>
          <w:rFonts w:hint="eastAsia" w:ascii="仿宋" w:hAnsi="仿宋" w:eastAsia="仿宋" w:cs="仿宋"/>
          <w:sz w:val="32"/>
          <w:szCs w:val="32"/>
          <w:highlight w:val="none"/>
        </w:rPr>
        <w:t>机关</w:t>
      </w:r>
    </w:p>
    <w:p>
      <w:pPr>
        <w:keepNext w:val="0"/>
        <w:keepLines w:val="0"/>
        <w:pageBreakBefore w:val="0"/>
        <w:widowControl w:val="0"/>
        <w:numPr>
          <w:ilvl w:val="0"/>
          <w:numId w:val="1"/>
        </w:numPr>
        <w:kinsoku/>
        <w:wordWrap/>
        <w:overflowPunct/>
        <w:topLinePunct w:val="0"/>
        <w:autoSpaceDE/>
        <w:autoSpaceDN/>
        <w:bidi w:val="0"/>
        <w:adjustRightIn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威海市欧美同学会秘书处</w:t>
      </w:r>
    </w:p>
    <w:p>
      <w:pPr>
        <w:keepNext w:val="0"/>
        <w:keepLines w:val="0"/>
        <w:pageBreakBefore w:val="0"/>
        <w:widowControl w:val="0"/>
        <w:numPr>
          <w:ilvl w:val="0"/>
          <w:numId w:val="1"/>
        </w:numPr>
        <w:kinsoku/>
        <w:wordWrap/>
        <w:overflowPunct/>
        <w:topLinePunct w:val="0"/>
        <w:autoSpaceDE/>
        <w:autoSpaceDN/>
        <w:bidi w:val="0"/>
        <w:adjustRightIn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威海市民族宗教事务服务中心</w:t>
      </w:r>
    </w:p>
    <w:p>
      <w:pPr>
        <w:widowControl/>
        <w:jc w:val="left"/>
        <w:rPr>
          <w:rFonts w:ascii="黑体" w:eastAsia="黑体"/>
          <w:b/>
          <w:sz w:val="48"/>
          <w:szCs w:val="48"/>
          <w:highlight w:val="none"/>
        </w:rPr>
      </w:pPr>
      <w:r>
        <w:rPr>
          <w:rFonts w:ascii="黑体" w:eastAsia="黑体"/>
          <w:b/>
          <w:sz w:val="48"/>
          <w:szCs w:val="48"/>
          <w:highlight w:val="none"/>
        </w:rPr>
        <w:br w:type="page"/>
      </w:r>
    </w:p>
    <w:p>
      <w:pPr>
        <w:rPr>
          <w:rFonts w:ascii="黑体" w:eastAsia="黑体"/>
          <w:sz w:val="52"/>
          <w:szCs w:val="52"/>
          <w:highlight w:val="none"/>
        </w:rPr>
      </w:pPr>
      <w:r>
        <w:rPr>
          <w:rFonts w:hint="eastAsia" w:ascii="黑体" w:eastAsia="黑体"/>
          <w:sz w:val="52"/>
          <w:szCs w:val="52"/>
          <w:highlight w:val="none"/>
        </w:rPr>
        <w:t>第二部分</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r>
        <w:rPr>
          <w:rFonts w:hint="eastAsia" w:ascii="黑体" w:eastAsia="黑体"/>
          <w:sz w:val="52"/>
          <w:szCs w:val="52"/>
          <w:highlight w:val="none"/>
          <w:lang w:eastAsia="zh-CN"/>
        </w:rPr>
        <w:t>2023</w:t>
      </w:r>
      <w:r>
        <w:rPr>
          <w:rFonts w:hint="eastAsia" w:ascii="黑体" w:eastAsia="黑体"/>
          <w:sz w:val="52"/>
          <w:szCs w:val="52"/>
          <w:highlight w:val="none"/>
        </w:rPr>
        <w:t>年</w:t>
      </w:r>
      <w:r>
        <w:rPr>
          <w:rFonts w:hint="eastAsia" w:ascii="黑体" w:eastAsia="黑体"/>
          <w:sz w:val="52"/>
          <w:szCs w:val="52"/>
          <w:highlight w:val="none"/>
          <w:lang w:val="en-US" w:eastAsia="zh-CN"/>
        </w:rPr>
        <w:t>部门</w:t>
      </w:r>
      <w:r>
        <w:rPr>
          <w:rFonts w:hint="eastAsia" w:ascii="黑体" w:eastAsia="黑体"/>
          <w:sz w:val="52"/>
          <w:szCs w:val="52"/>
          <w:highlight w:val="none"/>
        </w:rPr>
        <w:t>预算表</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widowControl/>
        <w:jc w:val="left"/>
        <w:rPr>
          <w:rFonts w:ascii="仿宋_GB2312" w:eastAsia="仿宋_GB2312"/>
          <w:b/>
          <w:sz w:val="30"/>
          <w:szCs w:val="30"/>
          <w:highlight w:val="none"/>
        </w:rPr>
      </w:pPr>
      <w:r>
        <w:rPr>
          <w:rFonts w:ascii="仿宋_GB2312" w:eastAsia="仿宋_GB2312"/>
          <w:b/>
          <w:sz w:val="30"/>
          <w:szCs w:val="30"/>
          <w:highlight w:val="none"/>
        </w:rPr>
        <w:br w:type="page"/>
      </w:r>
    </w:p>
    <w:p>
      <w:pPr>
        <w:keepNext w:val="0"/>
        <w:keepLines w:val="0"/>
        <w:pageBreakBefore w:val="0"/>
        <w:kinsoku/>
        <w:wordWrap/>
        <w:overflowPunct/>
        <w:topLinePunct w:val="0"/>
        <w:autoSpaceDE/>
        <w:autoSpaceDN/>
        <w:bidi w:val="0"/>
        <w:adjustRightInd/>
        <w:snapToGrid/>
        <w:spacing w:line="240" w:lineRule="exact"/>
        <w:jc w:val="right"/>
        <w:textAlignment w:val="auto"/>
        <w:rPr>
          <w:rFonts w:ascii="黑体" w:hAnsi="黑体" w:eastAsia="黑体"/>
          <w:bCs/>
          <w:szCs w:val="21"/>
          <w:highlight w:val="none"/>
        </w:rPr>
      </w:pPr>
      <w:r>
        <w:rPr>
          <w:rFonts w:hint="eastAsia" w:ascii="黑体" w:hAnsi="黑体" w:eastAsia="黑体"/>
          <w:bCs/>
          <w:szCs w:val="21"/>
          <w:highlight w:val="none"/>
        </w:rPr>
        <w:t>公开表1</w:t>
      </w:r>
    </w:p>
    <w:p>
      <w:pPr>
        <w:keepNext w:val="0"/>
        <w:keepLines w:val="0"/>
        <w:pageBreakBefore w:val="0"/>
        <w:kinsoku/>
        <w:wordWrap/>
        <w:overflowPunct/>
        <w:topLinePunct w:val="0"/>
        <w:autoSpaceDE/>
        <w:autoSpaceDN/>
        <w:bidi w:val="0"/>
        <w:adjustRightInd/>
        <w:snapToGrid/>
        <w:spacing w:line="240" w:lineRule="exact"/>
        <w:jc w:val="center"/>
        <w:textAlignment w:val="auto"/>
        <w:rPr>
          <w:rFonts w:ascii="黑体" w:hAnsi="黑体" w:eastAsia="黑体" w:cs="宋体"/>
          <w:bCs/>
          <w:kern w:val="0"/>
          <w:sz w:val="32"/>
          <w:szCs w:val="32"/>
          <w:highlight w:val="none"/>
        </w:rPr>
      </w:pPr>
      <w:bookmarkStart w:id="0" w:name="RANGE!A2:D28"/>
      <w:r>
        <w:rPr>
          <w:rFonts w:hint="eastAsia" w:ascii="黑体" w:hAnsi="黑体" w:eastAsia="黑体"/>
          <w:bCs/>
          <w:sz w:val="28"/>
          <w:szCs w:val="28"/>
          <w:highlight w:val="none"/>
        </w:rPr>
        <w:t>收支总体情况表</w:t>
      </w:r>
      <w:bookmarkEnd w:id="0"/>
    </w:p>
    <w:p>
      <w:pPr>
        <w:keepNext w:val="0"/>
        <w:keepLines w:val="0"/>
        <w:pageBreakBefore w:val="0"/>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bl>
      <w:tblPr>
        <w:tblStyle w:val="8"/>
        <w:tblW w:w="9398" w:type="dxa"/>
        <w:jc w:val="center"/>
        <w:tblLayout w:type="fixed"/>
        <w:tblCellMar>
          <w:top w:w="0" w:type="dxa"/>
          <w:left w:w="108" w:type="dxa"/>
          <w:bottom w:w="0" w:type="dxa"/>
          <w:right w:w="108" w:type="dxa"/>
        </w:tblCellMar>
      </w:tblPr>
      <w:tblGrid>
        <w:gridCol w:w="3381"/>
        <w:gridCol w:w="1297"/>
        <w:gridCol w:w="3397"/>
        <w:gridCol w:w="1323"/>
      </w:tblGrid>
      <w:tr>
        <w:tblPrEx>
          <w:tblCellMar>
            <w:top w:w="0" w:type="dxa"/>
            <w:left w:w="108" w:type="dxa"/>
            <w:bottom w:w="0" w:type="dxa"/>
            <w:right w:w="108" w:type="dxa"/>
          </w:tblCellMar>
        </w:tblPrEx>
        <w:trPr>
          <w:trHeight w:val="340" w:hRule="atLeast"/>
          <w:jc w:val="center"/>
        </w:trPr>
        <w:tc>
          <w:tcPr>
            <w:tcW w:w="467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 xml:space="preserve">收 </w:t>
            </w:r>
            <w:r>
              <w:rPr>
                <w:rFonts w:ascii="黑体" w:hAnsi="黑体" w:eastAsia="黑体" w:cs="宋体"/>
                <w:kern w:val="0"/>
                <w:sz w:val="18"/>
                <w:szCs w:val="18"/>
                <w:highlight w:val="none"/>
              </w:rPr>
              <w:t xml:space="preserve">   </w:t>
            </w:r>
            <w:r>
              <w:rPr>
                <w:rFonts w:hint="eastAsia" w:ascii="黑体" w:hAnsi="黑体" w:eastAsia="黑体" w:cs="宋体"/>
                <w:kern w:val="0"/>
                <w:sz w:val="18"/>
                <w:szCs w:val="18"/>
                <w:highlight w:val="none"/>
              </w:rPr>
              <w:t>入</w:t>
            </w:r>
          </w:p>
        </w:tc>
        <w:tc>
          <w:tcPr>
            <w:tcW w:w="4720" w:type="dxa"/>
            <w:gridSpan w:val="2"/>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 xml:space="preserve">支 </w:t>
            </w:r>
            <w:r>
              <w:rPr>
                <w:rFonts w:ascii="黑体" w:hAnsi="黑体" w:eastAsia="黑体" w:cs="宋体"/>
                <w:kern w:val="0"/>
                <w:sz w:val="18"/>
                <w:szCs w:val="18"/>
                <w:highlight w:val="none"/>
              </w:rPr>
              <w:t xml:space="preserve">   </w:t>
            </w:r>
            <w:r>
              <w:rPr>
                <w:rFonts w:hint="eastAsia" w:ascii="黑体" w:hAnsi="黑体" w:eastAsia="黑体" w:cs="宋体"/>
                <w:kern w:val="0"/>
                <w:sz w:val="18"/>
                <w:szCs w:val="18"/>
                <w:highlight w:val="none"/>
              </w:rPr>
              <w:t>出</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项目</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预算数</w:t>
            </w:r>
          </w:p>
        </w:tc>
        <w:tc>
          <w:tcPr>
            <w:tcW w:w="3397" w:type="dxa"/>
            <w:tcBorders>
              <w:top w:val="nil"/>
              <w:left w:val="nil"/>
              <w:bottom w:val="single" w:color="auto" w:sz="4" w:space="0"/>
              <w:right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项目</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黑体" w:hAnsi="黑体" w:eastAsia="黑体" w:cs="宋体"/>
                <w:kern w:val="0"/>
                <w:sz w:val="18"/>
                <w:szCs w:val="18"/>
                <w:highlight w:val="none"/>
              </w:rPr>
            </w:pPr>
            <w:r>
              <w:rPr>
                <w:rFonts w:hint="eastAsia" w:ascii="黑体" w:hAnsi="黑体" w:eastAsia="黑体" w:cs="宋体"/>
                <w:kern w:val="0"/>
                <w:sz w:val="18"/>
                <w:szCs w:val="18"/>
                <w:highlight w:val="none"/>
              </w:rPr>
              <w:t>预算数</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一、财政拨款收入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1271.36</w:t>
            </w:r>
          </w:p>
        </w:tc>
        <w:tc>
          <w:tcPr>
            <w:tcW w:w="339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一、一般公共服务支出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1064.83</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一般公共预算收入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1271.36</w:t>
            </w: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二、外交支出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政府性基金预算收入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三、国防支出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国有资本经营预算收入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四、公共安全支出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二、财政专户管理资金收入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五、教育支出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r>
              <w:rPr>
                <w:rFonts w:hint="eastAsia" w:ascii="仿宋_GB2312" w:eastAsia="仿宋_GB2312"/>
                <w:sz w:val="18"/>
                <w:szCs w:val="18"/>
                <w:highlight w:val="none"/>
              </w:rPr>
              <w:t>三、事业收入（不含教育收费）</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六、科学技术支出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四、事业单位经营收入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七、文化旅游体育与传媒支出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五、其他收入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八、社会保障和就业支出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84.58</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九、卫生健康支出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52.19</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十、节能环保支出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十一、城乡社区支出</w:t>
            </w:r>
          </w:p>
        </w:tc>
        <w:tc>
          <w:tcPr>
            <w:tcW w:w="1323"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十二、农林水支出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十三、交通运输支出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十四、资源勘探工业信息等支出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十五、商业服务业等支出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十六、金融支出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000000" w:sz="4" w:space="0"/>
              <w:bottom w:val="nil"/>
              <w:right w:val="single" w:color="000000"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十七、援助其他地区支出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十八、自然资源海洋气象等支出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十九、住房保障支出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69.76</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二十、粮油物资储备支出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二十一、国有资本经营预算支出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二十二、灾害防治及应急管理支出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eastAsia="仿宋_GB2312"/>
                <w:sz w:val="18"/>
                <w:szCs w:val="18"/>
                <w:highlight w:val="none"/>
              </w:rPr>
            </w:pPr>
            <w:r>
              <w:rPr>
                <w:rFonts w:hint="eastAsia" w:ascii="仿宋_GB2312" w:eastAsia="仿宋_GB2312"/>
                <w:sz w:val="18"/>
                <w:szCs w:val="18"/>
                <w:highlight w:val="none"/>
              </w:rPr>
              <w:t>二十三、其他支出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仿宋_GB2312" w:hAnsi="宋体" w:eastAsia="仿宋_GB2312" w:cs="宋体"/>
                <w:kern w:val="0"/>
                <w:sz w:val="18"/>
                <w:szCs w:val="18"/>
                <w:highlight w:val="none"/>
              </w:rPr>
            </w:pPr>
            <w:r>
              <w:rPr>
                <w:rFonts w:hint="eastAsia" w:ascii="仿宋_GB2312" w:hAnsi="宋体" w:eastAsia="仿宋_GB2312" w:cs="宋体"/>
                <w:kern w:val="0"/>
                <w:sz w:val="18"/>
                <w:szCs w:val="18"/>
                <w:highlight w:val="none"/>
              </w:rPr>
              <w:t>本年收入合计</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1271.36</w:t>
            </w: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ascii="仿宋_GB2312" w:hAnsi="宋体" w:eastAsia="仿宋_GB2312" w:cs="宋体"/>
                <w:kern w:val="0"/>
                <w:sz w:val="18"/>
                <w:szCs w:val="18"/>
                <w:highlight w:val="none"/>
              </w:rPr>
            </w:pPr>
            <w:r>
              <w:rPr>
                <w:rFonts w:hint="eastAsia" w:ascii="仿宋_GB2312" w:hAnsi="宋体" w:eastAsia="仿宋_GB2312" w:cs="宋体"/>
                <w:kern w:val="0"/>
                <w:sz w:val="18"/>
                <w:szCs w:val="18"/>
                <w:highlight w:val="none"/>
              </w:rPr>
              <w:t>本年支出合计</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1271.36</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ascii="仿宋_GB2312" w:hAnsi="宋体" w:eastAsia="仿宋_GB2312" w:cs="宋体"/>
                <w:kern w:val="0"/>
                <w:sz w:val="18"/>
                <w:szCs w:val="18"/>
                <w:highlight w:val="none"/>
              </w:rPr>
            </w:pP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上级补助收入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附属单位上缴收入</w:t>
            </w:r>
          </w:p>
        </w:tc>
        <w:tc>
          <w:tcPr>
            <w:tcW w:w="12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对附属单位的补助支出</w:t>
            </w:r>
          </w:p>
        </w:tc>
        <w:tc>
          <w:tcPr>
            <w:tcW w:w="132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rPr>
              <w:t>使用非财政拨款结余</w:t>
            </w:r>
          </w:p>
        </w:tc>
        <w:tc>
          <w:tcPr>
            <w:tcW w:w="12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仿宋_GB2312" w:hAnsi="宋体" w:eastAsia="仿宋_GB2312" w:cs="宋体"/>
                <w:kern w:val="0"/>
                <w:sz w:val="18"/>
                <w:szCs w:val="18"/>
                <w:highlight w:val="none"/>
                <w:lang w:val="en-US" w:eastAsia="zh-CN"/>
              </w:rPr>
            </w:pPr>
            <w:r>
              <w:rPr>
                <w:rFonts w:hint="eastAsia" w:ascii="仿宋_GB2312" w:hAnsi="宋体" w:eastAsia="仿宋_GB2312" w:cs="宋体"/>
                <w:kern w:val="0"/>
                <w:sz w:val="18"/>
                <w:szCs w:val="18"/>
                <w:highlight w:val="none"/>
                <w:lang w:val="en-US" w:eastAsia="zh-CN"/>
              </w:rPr>
              <w:t>上缴上级支出</w:t>
            </w:r>
          </w:p>
        </w:tc>
        <w:tc>
          <w:tcPr>
            <w:tcW w:w="132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eastAsia" w:ascii="仿宋_GB2312" w:hAnsi="宋体" w:eastAsia="仿宋_GB2312" w:cs="宋体"/>
                <w:kern w:val="0"/>
                <w:sz w:val="18"/>
                <w:szCs w:val="18"/>
                <w:highlight w:val="none"/>
              </w:rPr>
            </w:pPr>
            <w:r>
              <w:rPr>
                <w:rFonts w:hint="eastAsia" w:ascii="仿宋_GB2312" w:hAnsi="宋体" w:eastAsia="仿宋_GB2312" w:cs="宋体"/>
                <w:kern w:val="0"/>
                <w:sz w:val="18"/>
                <w:szCs w:val="18"/>
                <w:highlight w:val="none"/>
              </w:rPr>
              <w:t>上年结转</w:t>
            </w:r>
          </w:p>
        </w:tc>
        <w:tc>
          <w:tcPr>
            <w:tcW w:w="12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c>
          <w:tcPr>
            <w:tcW w:w="33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宋体" w:eastAsia="仿宋_GB2312" w:cs="宋体"/>
                <w:kern w:val="0"/>
                <w:sz w:val="18"/>
                <w:szCs w:val="18"/>
                <w:highlight w:val="none"/>
              </w:rPr>
            </w:pPr>
            <w:r>
              <w:rPr>
                <w:rFonts w:hint="eastAsia" w:ascii="仿宋_GB2312" w:hAnsi="宋体" w:eastAsia="仿宋_GB2312" w:cs="宋体"/>
                <w:kern w:val="0"/>
                <w:sz w:val="18"/>
                <w:szCs w:val="18"/>
                <w:highlight w:val="none"/>
                <w:lang w:val="en-US" w:eastAsia="zh-CN"/>
              </w:rPr>
              <w:t>结转下年</w:t>
            </w:r>
          </w:p>
        </w:tc>
        <w:tc>
          <w:tcPr>
            <w:tcW w:w="132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ascii="仿宋_GB2312" w:hAnsi="宋体" w:eastAsia="仿宋_GB2312" w:cs="宋体"/>
                <w:kern w:val="0"/>
                <w:sz w:val="18"/>
                <w:szCs w:val="18"/>
                <w:highlight w:val="none"/>
              </w:rPr>
            </w:pPr>
          </w:p>
        </w:tc>
      </w:tr>
      <w:tr>
        <w:tblPrEx>
          <w:tblCellMar>
            <w:top w:w="0" w:type="dxa"/>
            <w:left w:w="108" w:type="dxa"/>
            <w:bottom w:w="0" w:type="dxa"/>
            <w:right w:w="108" w:type="dxa"/>
          </w:tblCellMar>
        </w:tblPrEx>
        <w:trPr>
          <w:trHeight w:val="340" w:hRule="atLeast"/>
          <w:jc w:val="center"/>
        </w:trPr>
        <w:tc>
          <w:tcPr>
            <w:tcW w:w="338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宋体" w:eastAsia="仿宋_GB2312" w:cs="宋体"/>
                <w:kern w:val="0"/>
                <w:sz w:val="18"/>
                <w:szCs w:val="18"/>
                <w:highlight w:val="none"/>
                <w:lang w:val="en-US" w:eastAsia="zh-CN" w:bidi="ar-SA"/>
              </w:rPr>
            </w:pPr>
            <w:r>
              <w:rPr>
                <w:rFonts w:hint="eastAsia" w:ascii="仿宋_GB2312" w:hAnsi="宋体" w:eastAsia="仿宋_GB2312" w:cs="宋体"/>
                <w:kern w:val="0"/>
                <w:sz w:val="18"/>
                <w:szCs w:val="18"/>
                <w:highlight w:val="none"/>
              </w:rPr>
              <w:t>收 入 总 计</w:t>
            </w:r>
          </w:p>
        </w:tc>
        <w:tc>
          <w:tcPr>
            <w:tcW w:w="12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bidi="ar-SA"/>
              </w:rPr>
            </w:pPr>
            <w:r>
              <w:rPr>
                <w:rFonts w:hint="eastAsia" w:ascii="仿宋_GB2312" w:hAnsi="宋体" w:eastAsia="仿宋_GB2312" w:cs="宋体"/>
                <w:kern w:val="0"/>
                <w:sz w:val="18"/>
                <w:szCs w:val="18"/>
                <w:highlight w:val="none"/>
                <w:lang w:val="en-US" w:eastAsia="zh-CN" w:bidi="ar-SA"/>
              </w:rPr>
              <w:t>1271.36</w:t>
            </w:r>
          </w:p>
        </w:tc>
        <w:tc>
          <w:tcPr>
            <w:tcW w:w="33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宋体" w:eastAsia="仿宋_GB2312" w:cs="宋体"/>
                <w:kern w:val="0"/>
                <w:sz w:val="18"/>
                <w:szCs w:val="18"/>
                <w:highlight w:val="none"/>
                <w:lang w:val="en-US" w:eastAsia="zh-CN" w:bidi="ar-SA"/>
              </w:rPr>
            </w:pPr>
            <w:r>
              <w:rPr>
                <w:rFonts w:hint="eastAsia" w:ascii="仿宋_GB2312" w:hAnsi="宋体" w:eastAsia="仿宋_GB2312" w:cs="宋体"/>
                <w:kern w:val="0"/>
                <w:sz w:val="18"/>
                <w:szCs w:val="18"/>
                <w:highlight w:val="none"/>
              </w:rPr>
              <w:t>支 出 总 计</w:t>
            </w:r>
          </w:p>
        </w:tc>
        <w:tc>
          <w:tcPr>
            <w:tcW w:w="132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exact"/>
              <w:jc w:val="right"/>
              <w:textAlignment w:val="auto"/>
              <w:rPr>
                <w:rFonts w:hint="default" w:ascii="仿宋_GB2312" w:hAnsi="宋体" w:eastAsia="仿宋_GB2312" w:cs="宋体"/>
                <w:kern w:val="0"/>
                <w:sz w:val="18"/>
                <w:szCs w:val="18"/>
                <w:highlight w:val="none"/>
                <w:lang w:val="en-US" w:eastAsia="zh-CN" w:bidi="ar-SA"/>
              </w:rPr>
            </w:pPr>
            <w:r>
              <w:rPr>
                <w:rFonts w:hint="eastAsia" w:ascii="仿宋_GB2312" w:hAnsi="宋体" w:eastAsia="仿宋_GB2312" w:cs="宋体"/>
                <w:kern w:val="0"/>
                <w:sz w:val="18"/>
                <w:szCs w:val="18"/>
                <w:highlight w:val="none"/>
                <w:lang w:val="en-US" w:eastAsia="zh-CN" w:bidi="ar-SA"/>
              </w:rPr>
              <w:t>1271.36</w:t>
            </w:r>
          </w:p>
        </w:tc>
      </w:tr>
    </w:tbl>
    <w:p>
      <w:pPr>
        <w:rPr>
          <w:rFonts w:ascii="黑体" w:eastAsia="黑体"/>
          <w:b/>
          <w:sz w:val="30"/>
          <w:szCs w:val="30"/>
          <w:highlight w:val="none"/>
        </w:rPr>
      </w:pPr>
    </w:p>
    <w:p>
      <w:pPr>
        <w:rPr>
          <w:rFonts w:ascii="黑体" w:eastAsia="黑体"/>
          <w:b/>
          <w:sz w:val="30"/>
          <w:szCs w:val="30"/>
          <w:highlight w:val="none"/>
        </w:rPr>
        <w:sectPr>
          <w:footerReference r:id="rId3" w:type="default"/>
          <w:footerReference r:id="rId4" w:type="even"/>
          <w:pgSz w:w="11906" w:h="16838"/>
          <w:pgMar w:top="2041" w:right="1701" w:bottom="2041" w:left="1701" w:header="851" w:footer="992" w:gutter="0"/>
          <w:pgNumType w:start="0"/>
          <w:cols w:space="720" w:num="1"/>
          <w:titlePg/>
          <w:docGrid w:type="lines" w:linePitch="312" w:charSpace="0"/>
        </w:sectPr>
      </w:pPr>
    </w:p>
    <w:tbl>
      <w:tblPr>
        <w:tblStyle w:val="8"/>
        <w:tblW w:w="14786" w:type="dxa"/>
        <w:tblInd w:w="0" w:type="dxa"/>
        <w:tblLayout w:type="fixed"/>
        <w:tblCellMar>
          <w:top w:w="0" w:type="dxa"/>
          <w:left w:w="108" w:type="dxa"/>
          <w:bottom w:w="0" w:type="dxa"/>
          <w:right w:w="108" w:type="dxa"/>
        </w:tblCellMar>
      </w:tblPr>
      <w:tblGrid>
        <w:gridCol w:w="824"/>
        <w:gridCol w:w="826"/>
        <w:gridCol w:w="920"/>
        <w:gridCol w:w="1525"/>
        <w:gridCol w:w="1077"/>
        <w:gridCol w:w="1077"/>
        <w:gridCol w:w="1077"/>
        <w:gridCol w:w="1077"/>
        <w:gridCol w:w="1077"/>
        <w:gridCol w:w="663"/>
        <w:gridCol w:w="663"/>
        <w:gridCol w:w="663"/>
        <w:gridCol w:w="663"/>
        <w:gridCol w:w="663"/>
        <w:gridCol w:w="663"/>
        <w:gridCol w:w="664"/>
        <w:gridCol w:w="664"/>
      </w:tblGrid>
      <w:tr>
        <w:tblPrEx>
          <w:tblCellMar>
            <w:top w:w="0" w:type="dxa"/>
            <w:left w:w="108" w:type="dxa"/>
            <w:bottom w:w="0" w:type="dxa"/>
            <w:right w:w="108" w:type="dxa"/>
          </w:tblCellMar>
        </w:tblPrEx>
        <w:trPr>
          <w:trHeight w:val="360" w:hRule="atLeast"/>
          <w:tblHeader/>
        </w:trPr>
        <w:tc>
          <w:tcPr>
            <w:tcW w:w="14786" w:type="dxa"/>
            <w:gridSpan w:val="17"/>
            <w:tcBorders>
              <w:bottom w:val="single" w:color="auto" w:sz="4" w:space="0"/>
            </w:tcBorders>
            <w:shd w:val="clear" w:color="000000" w:fill="FFFFFF"/>
            <w:vAlign w:val="center"/>
          </w:tcPr>
          <w:p>
            <w:pPr>
              <w:jc w:val="right"/>
              <w:rPr>
                <w:rFonts w:hint="eastAsia" w:ascii="黑体" w:hAnsi="黑体" w:eastAsia="黑体"/>
                <w:bCs/>
                <w:szCs w:val="21"/>
                <w:highlight w:val="none"/>
              </w:rPr>
            </w:pPr>
          </w:p>
          <w:p>
            <w:pPr>
              <w:jc w:val="right"/>
              <w:rPr>
                <w:rFonts w:ascii="黑体" w:hAnsi="黑体" w:eastAsia="黑体"/>
                <w:bCs/>
                <w:szCs w:val="21"/>
                <w:highlight w:val="none"/>
              </w:rPr>
            </w:pPr>
            <w:r>
              <w:rPr>
                <w:rFonts w:hint="eastAsia" w:ascii="黑体" w:hAnsi="黑体" w:eastAsia="黑体"/>
                <w:bCs/>
                <w:szCs w:val="21"/>
                <w:highlight w:val="none"/>
              </w:rPr>
              <w:t>公开表2</w:t>
            </w:r>
          </w:p>
          <w:p>
            <w:pPr>
              <w:jc w:val="center"/>
              <w:rPr>
                <w:rFonts w:ascii="黑体" w:hAnsi="黑体" w:eastAsia="黑体"/>
                <w:bCs/>
                <w:sz w:val="28"/>
                <w:szCs w:val="28"/>
                <w:highlight w:val="none"/>
              </w:rPr>
            </w:pPr>
            <w:r>
              <w:rPr>
                <w:rFonts w:hint="eastAsia" w:ascii="黑体" w:hAnsi="黑体" w:eastAsia="黑体"/>
                <w:bCs/>
                <w:sz w:val="28"/>
                <w:szCs w:val="28"/>
                <w:highlight w:val="none"/>
              </w:rPr>
              <w:t>收入总体情况表</w:t>
            </w:r>
          </w:p>
          <w:p>
            <w:pPr>
              <w:widowControl/>
              <w:adjustRightInd w:val="0"/>
              <w:snapToGrid w:val="0"/>
              <w:jc w:val="right"/>
              <w:rPr>
                <w:rFonts w:ascii="黑体" w:hAnsi="黑体" w:eastAsia="黑体" w:cs="Arial"/>
                <w:color w:val="000000"/>
                <w:kern w:val="0"/>
                <w:sz w:val="18"/>
                <w:szCs w:val="18"/>
                <w:highlight w:val="none"/>
              </w:rPr>
            </w:pPr>
            <w:r>
              <w:rPr>
                <w:rFonts w:hint="eastAsia" w:ascii="仿宋_GB2312" w:hAnsi="宋体" w:eastAsia="仿宋_GB2312" w:cs="宋体"/>
                <w:kern w:val="0"/>
                <w:sz w:val="20"/>
                <w:szCs w:val="20"/>
                <w:highlight w:val="none"/>
              </w:rPr>
              <w:t>单位：万元</w:t>
            </w:r>
          </w:p>
        </w:tc>
      </w:tr>
      <w:tr>
        <w:tblPrEx>
          <w:tblCellMar>
            <w:top w:w="0" w:type="dxa"/>
            <w:left w:w="108" w:type="dxa"/>
            <w:bottom w:w="0" w:type="dxa"/>
            <w:right w:w="108" w:type="dxa"/>
          </w:tblCellMar>
        </w:tblPrEx>
        <w:trPr>
          <w:trHeight w:val="360" w:hRule="atLeast"/>
          <w:tblHeader/>
        </w:trPr>
        <w:tc>
          <w:tcPr>
            <w:tcW w:w="2570"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科目编码</w:t>
            </w:r>
          </w:p>
        </w:tc>
        <w:tc>
          <w:tcPr>
            <w:tcW w:w="1525"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科目名称</w:t>
            </w:r>
          </w:p>
        </w:tc>
        <w:tc>
          <w:tcPr>
            <w:tcW w:w="1077"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合计</w:t>
            </w:r>
          </w:p>
        </w:tc>
        <w:tc>
          <w:tcPr>
            <w:tcW w:w="4308" w:type="dxa"/>
            <w:gridSpan w:val="4"/>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财政拨款收入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财政</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专户</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管理</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资金</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事业</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事业</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单位</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经营</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lang w:val="en-US" w:eastAsia="zh-CN"/>
              </w:rPr>
            </w:pPr>
            <w:r>
              <w:rPr>
                <w:rFonts w:hint="eastAsia" w:ascii="黑体" w:hAnsi="黑体" w:eastAsia="黑体" w:cs="Arial"/>
                <w:color w:val="000000"/>
                <w:kern w:val="0"/>
                <w:sz w:val="18"/>
                <w:szCs w:val="18"/>
                <w:highlight w:val="none"/>
                <w:lang w:val="en-US" w:eastAsia="zh-CN"/>
              </w:rPr>
              <w:t>其他</w:t>
            </w:r>
          </w:p>
          <w:p>
            <w:pPr>
              <w:widowControl/>
              <w:adjustRightInd w:val="0"/>
              <w:snapToGrid w:val="0"/>
              <w:jc w:val="center"/>
              <w:rPr>
                <w:rFonts w:hint="default" w:ascii="黑体" w:hAnsi="黑体" w:eastAsia="黑体" w:cs="Arial"/>
                <w:color w:val="000000"/>
                <w:kern w:val="0"/>
                <w:sz w:val="18"/>
                <w:szCs w:val="18"/>
                <w:highlight w:val="none"/>
                <w:lang w:val="en-US" w:eastAsia="zh-CN"/>
              </w:rPr>
            </w:pPr>
            <w:r>
              <w:rPr>
                <w:rFonts w:hint="eastAsia" w:ascii="黑体" w:hAnsi="黑体" w:eastAsia="黑体" w:cs="Arial"/>
                <w:color w:val="000000"/>
                <w:kern w:val="0"/>
                <w:sz w:val="18"/>
                <w:szCs w:val="18"/>
                <w:highlight w:val="none"/>
                <w:lang w:val="en-US" w:eastAsia="zh-CN"/>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上级</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补助</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附属</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单位</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上缴</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4"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使用</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非财</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政拨</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款结</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余</w:t>
            </w:r>
          </w:p>
        </w:tc>
        <w:tc>
          <w:tcPr>
            <w:tcW w:w="664" w:type="dxa"/>
            <w:vMerge w:val="restart"/>
            <w:tcBorders>
              <w:top w:val="single" w:color="auto" w:sz="4" w:space="0"/>
              <w:left w:val="single" w:color="auto" w:sz="4" w:space="0"/>
              <w:right w:val="single" w:color="auto" w:sz="4" w:space="0"/>
            </w:tcBorders>
            <w:shd w:val="clear" w:color="000000" w:fill="FFFFFF"/>
            <w:vAlign w:val="center"/>
          </w:tcPr>
          <w:p>
            <w:pPr>
              <w:widowControl/>
              <w:shd w:val="clear" w:fill="DBEEF3" w:themeFill="accent5" w:themeFillTint="32"/>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上年</w:t>
            </w:r>
          </w:p>
          <w:p>
            <w:pPr>
              <w:widowControl/>
              <w:shd w:val="clear" w:fill="DBEEF3" w:themeFill="accent5" w:themeFillTint="32"/>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结转</w:t>
            </w:r>
          </w:p>
        </w:tc>
      </w:tr>
      <w:tr>
        <w:tblPrEx>
          <w:tblCellMar>
            <w:top w:w="0" w:type="dxa"/>
            <w:left w:w="108" w:type="dxa"/>
            <w:bottom w:w="0" w:type="dxa"/>
            <w:right w:w="108" w:type="dxa"/>
          </w:tblCellMar>
        </w:tblPrEx>
        <w:trPr>
          <w:trHeight w:val="1349" w:hRule="atLeast"/>
          <w:tblHeader/>
        </w:trPr>
        <w:tc>
          <w:tcPr>
            <w:tcW w:w="824"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类</w:t>
            </w:r>
          </w:p>
        </w:tc>
        <w:tc>
          <w:tcPr>
            <w:tcW w:w="82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款</w:t>
            </w:r>
          </w:p>
        </w:tc>
        <w:tc>
          <w:tcPr>
            <w:tcW w:w="92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w:t>
            </w:r>
          </w:p>
        </w:tc>
        <w:tc>
          <w:tcPr>
            <w:tcW w:w="152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1077"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小计</w:t>
            </w: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一般公共</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预算收入</w:t>
            </w: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政府性</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基金预算收入</w:t>
            </w:r>
          </w:p>
        </w:tc>
        <w:tc>
          <w:tcPr>
            <w:tcW w:w="107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国有资本</w:t>
            </w:r>
          </w:p>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经营预算</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收入</w:t>
            </w: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4"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highlight w:val="none"/>
              </w:rPr>
            </w:pPr>
          </w:p>
        </w:tc>
        <w:tc>
          <w:tcPr>
            <w:tcW w:w="664" w:type="dxa"/>
            <w:vMerge w:val="continue"/>
            <w:tcBorders>
              <w:left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p>
        </w:tc>
      </w:tr>
      <w:tr>
        <w:tblPrEx>
          <w:tblCellMar>
            <w:top w:w="0" w:type="dxa"/>
            <w:left w:w="108" w:type="dxa"/>
            <w:bottom w:w="0" w:type="dxa"/>
            <w:right w:w="108" w:type="dxa"/>
          </w:tblCellMar>
        </w:tblPrEx>
        <w:trPr>
          <w:trHeight w:val="458" w:hRule="atLeast"/>
        </w:trPr>
        <w:tc>
          <w:tcPr>
            <w:tcW w:w="4095"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xml:space="preserve">合 </w:t>
            </w:r>
            <w:r>
              <w:rPr>
                <w:rFonts w:ascii="仿宋_GB2312" w:hAnsi="宋体" w:eastAsia="仿宋_GB2312" w:cs="Arial"/>
                <w:color w:val="000000"/>
                <w:kern w:val="0"/>
                <w:sz w:val="18"/>
                <w:szCs w:val="18"/>
                <w:highlight w:val="none"/>
              </w:rPr>
              <w:t xml:space="preserve">   </w:t>
            </w:r>
            <w:r>
              <w:rPr>
                <w:rFonts w:hint="eastAsia" w:ascii="仿宋_GB2312" w:hAnsi="宋体" w:eastAsia="仿宋_GB2312" w:cs="Arial"/>
                <w:color w:val="000000"/>
                <w:kern w:val="0"/>
                <w:sz w:val="18"/>
                <w:szCs w:val="18"/>
                <w:highlight w:val="none"/>
              </w:rPr>
              <w:t>计</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一般公共服务支出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统战事务</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行政运行</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956.66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956.66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956.66</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50</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事业运行</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108.17</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108.17</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108.17</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社会保障和就业支出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84.58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84.58</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84.58</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行政事业单位养老支出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机关事业单位基本养老保险缴费支出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其他社会保障和就业支出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其他社会保障和就业支出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卫生健康支出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行政事业单位医疗</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行政单位医疗</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34.92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34.92</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34.92</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事业单位医疗</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6.94</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6.94</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03</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公务员医疗补助</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10.33</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10.33</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10.33</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住房保障支出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住房改革支出</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r>
        <w:tblPrEx>
          <w:tblCellMar>
            <w:top w:w="0" w:type="dxa"/>
            <w:left w:w="108" w:type="dxa"/>
            <w:bottom w:w="0" w:type="dxa"/>
            <w:right w:w="108" w:type="dxa"/>
          </w:tblCellMar>
        </w:tblPrEx>
        <w:trPr>
          <w:trHeight w:val="480" w:hRule="atLeast"/>
        </w:trPr>
        <w:tc>
          <w:tcPr>
            <w:tcW w:w="82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82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92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52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住房公积金</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07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10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c>
          <w:tcPr>
            <w:tcW w:w="66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highlight w:val="none"/>
              </w:rPr>
            </w:pPr>
          </w:p>
        </w:tc>
      </w:tr>
    </w:tbl>
    <w:p>
      <w:pPr>
        <w:widowControl/>
        <w:jc w:val="left"/>
        <w:rPr>
          <w:rFonts w:ascii="宋体" w:hAnsi="宋体"/>
          <w:b/>
          <w:szCs w:val="21"/>
          <w:highlight w:val="none"/>
        </w:rPr>
      </w:pPr>
    </w:p>
    <w:p>
      <w:pPr>
        <w:widowControl/>
        <w:jc w:val="left"/>
        <w:rPr>
          <w:rFonts w:ascii="宋体" w:hAnsi="宋体"/>
          <w:b/>
          <w:szCs w:val="21"/>
          <w:highlight w:val="none"/>
        </w:rPr>
      </w:pPr>
      <w:r>
        <w:rPr>
          <w:rFonts w:ascii="宋体" w:hAnsi="宋体"/>
          <w:b/>
          <w:szCs w:val="21"/>
          <w:highlight w:val="none"/>
        </w:rPr>
        <w:br w:type="page"/>
      </w:r>
    </w:p>
    <w:tbl>
      <w:tblPr>
        <w:tblStyle w:val="8"/>
        <w:tblW w:w="14786" w:type="dxa"/>
        <w:tblInd w:w="0" w:type="dxa"/>
        <w:tblLayout w:type="fixed"/>
        <w:tblCellMar>
          <w:top w:w="0" w:type="dxa"/>
          <w:left w:w="108" w:type="dxa"/>
          <w:bottom w:w="0" w:type="dxa"/>
          <w:right w:w="108" w:type="dxa"/>
        </w:tblCellMar>
      </w:tblPr>
      <w:tblGrid>
        <w:gridCol w:w="1227"/>
        <w:gridCol w:w="1227"/>
        <w:gridCol w:w="1227"/>
        <w:gridCol w:w="1227"/>
        <w:gridCol w:w="1411"/>
        <w:gridCol w:w="1411"/>
        <w:gridCol w:w="1411"/>
        <w:gridCol w:w="1411"/>
        <w:gridCol w:w="1411"/>
        <w:gridCol w:w="1411"/>
        <w:gridCol w:w="1412"/>
      </w:tblGrid>
      <w:tr>
        <w:tblPrEx>
          <w:tblCellMar>
            <w:top w:w="0" w:type="dxa"/>
            <w:left w:w="108" w:type="dxa"/>
            <w:bottom w:w="0" w:type="dxa"/>
            <w:right w:w="108" w:type="dxa"/>
          </w:tblCellMar>
        </w:tblPrEx>
        <w:trPr>
          <w:trHeight w:val="360" w:hRule="atLeast"/>
          <w:tblHeader/>
        </w:trPr>
        <w:tc>
          <w:tcPr>
            <w:tcW w:w="14786" w:type="dxa"/>
            <w:gridSpan w:val="11"/>
            <w:tcBorders>
              <w:bottom w:val="single" w:color="auto" w:sz="4" w:space="0"/>
            </w:tcBorders>
            <w:shd w:val="clear" w:color="000000" w:fill="FFFFFF"/>
            <w:vAlign w:val="center"/>
          </w:tcPr>
          <w:p>
            <w:pPr>
              <w:jc w:val="right"/>
              <w:rPr>
                <w:rFonts w:ascii="黑体" w:hAnsi="黑体" w:eastAsia="黑体"/>
                <w:bCs/>
                <w:szCs w:val="21"/>
                <w:highlight w:val="none"/>
              </w:rPr>
            </w:pPr>
            <w:r>
              <w:rPr>
                <w:rFonts w:hint="eastAsia" w:ascii="黑体" w:hAnsi="黑体" w:eastAsia="黑体"/>
                <w:bCs/>
                <w:szCs w:val="21"/>
                <w:highlight w:val="none"/>
              </w:rPr>
              <w:t>公开表3</w:t>
            </w:r>
          </w:p>
          <w:p>
            <w:pPr>
              <w:jc w:val="center"/>
              <w:rPr>
                <w:rFonts w:ascii="黑体" w:hAnsi="黑体" w:eastAsia="黑体"/>
                <w:bCs/>
                <w:sz w:val="28"/>
                <w:szCs w:val="28"/>
                <w:highlight w:val="none"/>
              </w:rPr>
            </w:pPr>
            <w:r>
              <w:rPr>
                <w:rFonts w:hint="eastAsia" w:ascii="黑体" w:hAnsi="黑体" w:eastAsia="黑体"/>
                <w:bCs/>
                <w:sz w:val="28"/>
                <w:szCs w:val="28"/>
                <w:highlight w:val="none"/>
              </w:rPr>
              <w:t>支出总体情况表</w:t>
            </w:r>
          </w:p>
          <w:p>
            <w:pPr>
              <w:jc w:val="right"/>
              <w:rPr>
                <w:rFonts w:hint="eastAsia"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c>
      </w:tr>
      <w:tr>
        <w:tblPrEx>
          <w:tblCellMar>
            <w:top w:w="0" w:type="dxa"/>
            <w:left w:w="108" w:type="dxa"/>
            <w:bottom w:w="0" w:type="dxa"/>
            <w:right w:w="108" w:type="dxa"/>
          </w:tblCellMar>
        </w:tblPrEx>
        <w:trPr>
          <w:trHeight w:val="360" w:hRule="atLeast"/>
          <w:tblHeader/>
        </w:trPr>
        <w:tc>
          <w:tcPr>
            <w:tcW w:w="3681"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科目编码</w:t>
            </w:r>
          </w:p>
        </w:tc>
        <w:tc>
          <w:tcPr>
            <w:tcW w:w="1227"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科目名称</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合计</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基本支出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项目支出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上缴上级</w:t>
            </w:r>
            <w:r>
              <w:rPr>
                <w:rFonts w:ascii="黑体" w:hAnsi="黑体" w:eastAsia="黑体" w:cs="Arial"/>
                <w:color w:val="000000"/>
                <w:kern w:val="0"/>
                <w:sz w:val="18"/>
                <w:szCs w:val="18"/>
                <w:highlight w:val="none"/>
              </w:rPr>
              <w:br w:type="textWrapping"/>
            </w:r>
            <w:r>
              <w:rPr>
                <w:rFonts w:hint="eastAsia" w:ascii="黑体" w:hAnsi="黑体" w:eastAsia="黑体" w:cs="Arial"/>
                <w:color w:val="000000"/>
                <w:kern w:val="0"/>
                <w:sz w:val="18"/>
                <w:szCs w:val="18"/>
                <w:highlight w:val="none"/>
              </w:rPr>
              <w:t>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对附属单位</w:t>
            </w:r>
          </w:p>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补助支出</w:t>
            </w:r>
          </w:p>
        </w:tc>
        <w:tc>
          <w:tcPr>
            <w:tcW w:w="1411"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黑体" w:hAnsi="黑体" w:eastAsia="黑体" w:cs="Arial"/>
                <w:color w:val="000000"/>
                <w:kern w:val="0"/>
                <w:sz w:val="18"/>
                <w:szCs w:val="18"/>
                <w:highlight w:val="none"/>
                <w:lang w:val="en-US" w:eastAsia="zh-CN"/>
              </w:rPr>
            </w:pPr>
            <w:r>
              <w:rPr>
                <w:rFonts w:hint="eastAsia" w:ascii="黑体" w:hAnsi="黑体" w:eastAsia="黑体" w:cs="Arial"/>
                <w:color w:val="000000"/>
                <w:kern w:val="0"/>
                <w:sz w:val="18"/>
                <w:szCs w:val="18"/>
                <w:highlight w:val="none"/>
              </w:rPr>
              <w:t>事业单位</w:t>
            </w:r>
            <w:r>
              <w:rPr>
                <w:rFonts w:ascii="黑体" w:hAnsi="黑体" w:eastAsia="黑体" w:cs="Arial"/>
                <w:color w:val="000000"/>
                <w:kern w:val="0"/>
                <w:sz w:val="18"/>
                <w:szCs w:val="18"/>
                <w:highlight w:val="none"/>
              </w:rPr>
              <w:br w:type="textWrapping"/>
            </w:r>
            <w:r>
              <w:rPr>
                <w:rFonts w:hint="eastAsia" w:ascii="黑体" w:hAnsi="黑体" w:eastAsia="黑体" w:cs="Arial"/>
                <w:color w:val="000000"/>
                <w:kern w:val="0"/>
                <w:sz w:val="18"/>
                <w:szCs w:val="18"/>
                <w:highlight w:val="none"/>
              </w:rPr>
              <w:t>经营支出</w:t>
            </w:r>
          </w:p>
        </w:tc>
        <w:tc>
          <w:tcPr>
            <w:tcW w:w="1412" w:type="dxa"/>
            <w:vMerge w:val="restart"/>
            <w:tcBorders>
              <w:top w:val="single" w:color="auto" w:sz="4" w:space="0"/>
              <w:left w:val="single" w:color="auto" w:sz="4" w:space="0"/>
              <w:right w:val="single" w:color="auto" w:sz="4" w:space="0"/>
            </w:tcBorders>
            <w:shd w:val="clear" w:color="000000" w:fill="FFFFFF"/>
            <w:vAlign w:val="center"/>
          </w:tcPr>
          <w:p>
            <w:pPr>
              <w:widowControl/>
              <w:adjustRightInd w:val="0"/>
              <w:snapToGrid w:val="0"/>
              <w:jc w:val="center"/>
              <w:rPr>
                <w:rFonts w:hint="eastAsia" w:ascii="黑体" w:hAnsi="黑体" w:eastAsia="黑体" w:cs="Arial"/>
                <w:color w:val="000000"/>
                <w:kern w:val="0"/>
                <w:sz w:val="18"/>
                <w:szCs w:val="18"/>
                <w:highlight w:val="none"/>
                <w:lang w:val="en-US" w:eastAsia="zh-CN"/>
              </w:rPr>
            </w:pPr>
            <w:r>
              <w:rPr>
                <w:rFonts w:hint="eastAsia" w:ascii="黑体" w:hAnsi="黑体" w:eastAsia="黑体" w:cs="Arial"/>
                <w:color w:val="000000"/>
                <w:kern w:val="0"/>
                <w:sz w:val="18"/>
                <w:szCs w:val="18"/>
                <w:highlight w:val="none"/>
                <w:lang w:val="en-US" w:eastAsia="zh-CN"/>
              </w:rPr>
              <w:t>结转下年</w:t>
            </w:r>
          </w:p>
        </w:tc>
      </w:tr>
      <w:tr>
        <w:tblPrEx>
          <w:tblCellMar>
            <w:top w:w="0" w:type="dxa"/>
            <w:left w:w="108" w:type="dxa"/>
            <w:bottom w:w="0" w:type="dxa"/>
            <w:right w:w="108" w:type="dxa"/>
          </w:tblCellMar>
        </w:tblPrEx>
        <w:trPr>
          <w:trHeight w:val="439" w:hRule="atLeast"/>
          <w:tblHeader/>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类</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款</w:t>
            </w:r>
          </w:p>
        </w:tc>
        <w:tc>
          <w:tcPr>
            <w:tcW w:w="1227"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w:t>
            </w:r>
          </w:p>
        </w:tc>
        <w:tc>
          <w:tcPr>
            <w:tcW w:w="1227"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1"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c>
          <w:tcPr>
            <w:tcW w:w="1412" w:type="dxa"/>
            <w:vMerge w:val="continue"/>
            <w:tcBorders>
              <w:left w:val="single" w:color="auto" w:sz="4" w:space="0"/>
              <w:bottom w:val="single" w:color="auto" w:sz="4" w:space="0"/>
              <w:right w:val="single" w:color="auto" w:sz="4" w:space="0"/>
            </w:tcBorders>
            <w:vAlign w:val="center"/>
          </w:tcPr>
          <w:p>
            <w:pPr>
              <w:widowControl/>
              <w:adjustRightInd w:val="0"/>
              <w:snapToGrid w:val="0"/>
              <w:jc w:val="left"/>
              <w:rPr>
                <w:rFonts w:ascii="宋体" w:hAnsi="宋体"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4908"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xml:space="preserve">合 </w:t>
            </w:r>
            <w:r>
              <w:rPr>
                <w:rFonts w:ascii="仿宋_GB2312" w:hAnsi="宋体" w:eastAsia="仿宋_GB2312" w:cs="Arial"/>
                <w:color w:val="000000"/>
                <w:kern w:val="0"/>
                <w:sz w:val="18"/>
                <w:szCs w:val="18"/>
                <w:highlight w:val="none"/>
              </w:rPr>
              <w:t xml:space="preserve">   </w:t>
            </w:r>
            <w:r>
              <w:rPr>
                <w:rFonts w:hint="eastAsia" w:ascii="仿宋_GB2312" w:hAnsi="宋体" w:eastAsia="仿宋_GB2312" w:cs="Arial"/>
                <w:color w:val="000000"/>
                <w:kern w:val="0"/>
                <w:sz w:val="18"/>
                <w:szCs w:val="18"/>
                <w:highlight w:val="none"/>
              </w:rPr>
              <w:t>计</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899.36</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372.00</w:t>
            </w: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一般公共服务支出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692.83</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372.00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统战事务</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692.83</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372.00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行政运行</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956.66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584.66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372.00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事业运行</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108.17</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108.17</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社会保障和就业支出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84.58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84.58</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行政事业单位养老支出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05</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机关事业单位基本养老保险缴费支出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81.69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其他社会保障和就业支出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208</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99</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其他社会保障和就业支出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2.90</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卫生健康支出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行政事业单位医疗</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行政单位医疗</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34.92</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34.92</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事业单位医疗</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6.94</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210</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03</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公务员医疗补助</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10.33</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10.33</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住房保障支出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住房改革支出</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454" w:hRule="atLeast"/>
        </w:trPr>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221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02</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01</w:t>
            </w:r>
          </w:p>
        </w:tc>
        <w:tc>
          <w:tcPr>
            <w:tcW w:w="122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 xml:space="preserve">    住房公积金</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hint="eastAsia" w:ascii="仿宋_GB2312" w:hAnsi="宋体" w:eastAsia="仿宋_GB2312" w:cs="Arial"/>
                <w:color w:val="000000"/>
                <w:kern w:val="0"/>
                <w:sz w:val="18"/>
                <w:szCs w:val="18"/>
                <w:highlight w:val="none"/>
                <w:lang w:val="en-US" w:eastAsia="zh-CN"/>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c>
          <w:tcPr>
            <w:tcW w:w="1412"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仿宋_GB2312" w:hAnsi="宋体" w:eastAsia="仿宋_GB2312" w:cs="Arial"/>
                <w:color w:val="000000"/>
                <w:kern w:val="0"/>
                <w:sz w:val="18"/>
                <w:szCs w:val="18"/>
                <w:highlight w:val="none"/>
              </w:rPr>
            </w:pPr>
          </w:p>
        </w:tc>
      </w:tr>
    </w:tbl>
    <w:p>
      <w:pPr>
        <w:jc w:val="right"/>
        <w:rPr>
          <w:rFonts w:ascii="宋体" w:hAnsi="宋体"/>
          <w:b/>
          <w:szCs w:val="21"/>
          <w:highlight w:val="none"/>
        </w:rPr>
      </w:pPr>
    </w:p>
    <w:p>
      <w:pPr>
        <w:widowControl/>
        <w:jc w:val="left"/>
        <w:rPr>
          <w:rFonts w:ascii="宋体" w:hAnsi="宋体"/>
          <w:b/>
          <w:szCs w:val="21"/>
          <w:highlight w:val="none"/>
        </w:rPr>
      </w:pPr>
      <w:r>
        <w:rPr>
          <w:rFonts w:ascii="宋体" w:hAnsi="宋体"/>
          <w:b/>
          <w:szCs w:val="21"/>
          <w:highlight w:val="none"/>
        </w:rPr>
        <w:br w:type="page"/>
      </w:r>
    </w:p>
    <w:tbl>
      <w:tblPr>
        <w:tblStyle w:val="8"/>
        <w:tblW w:w="14884" w:type="dxa"/>
        <w:tblInd w:w="-34" w:type="dxa"/>
        <w:tblLayout w:type="fixed"/>
        <w:tblCellMar>
          <w:top w:w="0" w:type="dxa"/>
          <w:left w:w="108" w:type="dxa"/>
          <w:bottom w:w="0" w:type="dxa"/>
          <w:right w:w="108" w:type="dxa"/>
        </w:tblCellMar>
      </w:tblPr>
      <w:tblGrid>
        <w:gridCol w:w="2959"/>
        <w:gridCol w:w="1858"/>
        <w:gridCol w:w="3316"/>
        <w:gridCol w:w="1670"/>
        <w:gridCol w:w="1670"/>
        <w:gridCol w:w="1670"/>
        <w:gridCol w:w="1741"/>
      </w:tblGrid>
      <w:tr>
        <w:tblPrEx>
          <w:tblCellMar>
            <w:top w:w="0" w:type="dxa"/>
            <w:left w:w="108" w:type="dxa"/>
            <w:bottom w:w="0" w:type="dxa"/>
            <w:right w:w="108" w:type="dxa"/>
          </w:tblCellMar>
        </w:tblPrEx>
        <w:trPr>
          <w:trHeight w:val="340" w:hRule="atLeast"/>
          <w:tblHeader/>
        </w:trPr>
        <w:tc>
          <w:tcPr>
            <w:tcW w:w="14884" w:type="dxa"/>
            <w:gridSpan w:val="7"/>
            <w:tcBorders>
              <w:bottom w:val="single" w:color="auto" w:sz="4" w:space="0"/>
            </w:tcBorders>
            <w:shd w:val="clear" w:color="000000" w:fill="FFFFFF"/>
            <w:noWrap/>
            <w:vAlign w:val="center"/>
          </w:tcPr>
          <w:p>
            <w:pPr>
              <w:jc w:val="right"/>
              <w:rPr>
                <w:rFonts w:ascii="黑体" w:hAnsi="黑体" w:eastAsia="黑体"/>
                <w:bCs/>
                <w:szCs w:val="21"/>
                <w:highlight w:val="none"/>
              </w:rPr>
            </w:pPr>
            <w:r>
              <w:rPr>
                <w:rFonts w:hint="eastAsia" w:ascii="黑体" w:hAnsi="黑体" w:eastAsia="黑体"/>
                <w:bCs/>
                <w:szCs w:val="21"/>
                <w:highlight w:val="none"/>
              </w:rPr>
              <w:t>公开表4</w:t>
            </w:r>
          </w:p>
          <w:p>
            <w:pPr>
              <w:jc w:val="center"/>
              <w:rPr>
                <w:rFonts w:ascii="黑体" w:hAnsi="黑体" w:eastAsia="黑体"/>
                <w:bCs/>
                <w:sz w:val="28"/>
                <w:szCs w:val="28"/>
                <w:highlight w:val="none"/>
              </w:rPr>
            </w:pPr>
            <w:r>
              <w:rPr>
                <w:rFonts w:hint="eastAsia" w:ascii="黑体" w:hAnsi="黑体" w:eastAsia="黑体"/>
                <w:bCs/>
                <w:sz w:val="28"/>
                <w:szCs w:val="28"/>
                <w:highlight w:val="none"/>
              </w:rPr>
              <w:t>财政拨款收支总体情况表</w:t>
            </w:r>
          </w:p>
          <w:p>
            <w:pPr>
              <w:widowControl/>
              <w:jc w:val="right"/>
              <w:rPr>
                <w:rFonts w:ascii="黑体" w:hAnsi="黑体" w:eastAsia="黑体" w:cs="Arial"/>
                <w:color w:val="000000"/>
                <w:kern w:val="0"/>
                <w:sz w:val="18"/>
                <w:szCs w:val="18"/>
                <w:highlight w:val="none"/>
              </w:rPr>
            </w:pPr>
            <w:r>
              <w:rPr>
                <w:rFonts w:hint="eastAsia" w:ascii="仿宋_GB2312" w:hAnsi="宋体" w:eastAsia="仿宋_GB2312" w:cs="宋体"/>
                <w:kern w:val="0"/>
                <w:szCs w:val="21"/>
                <w:highlight w:val="none"/>
              </w:rPr>
              <w:t>单位：万元</w:t>
            </w:r>
          </w:p>
        </w:tc>
      </w:tr>
      <w:tr>
        <w:tblPrEx>
          <w:tblCellMar>
            <w:top w:w="0" w:type="dxa"/>
            <w:left w:w="108" w:type="dxa"/>
            <w:bottom w:w="0" w:type="dxa"/>
            <w:right w:w="108" w:type="dxa"/>
          </w:tblCellMar>
        </w:tblPrEx>
        <w:trPr>
          <w:trHeight w:val="340" w:hRule="atLeast"/>
          <w:tblHeader/>
        </w:trPr>
        <w:tc>
          <w:tcPr>
            <w:tcW w:w="4817" w:type="dxa"/>
            <w:gridSpan w:val="2"/>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收    入</w:t>
            </w:r>
          </w:p>
        </w:tc>
        <w:tc>
          <w:tcPr>
            <w:tcW w:w="10067" w:type="dxa"/>
            <w:gridSpan w:val="5"/>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支    出</w:t>
            </w:r>
          </w:p>
        </w:tc>
      </w:tr>
      <w:tr>
        <w:tblPrEx>
          <w:tblCellMar>
            <w:top w:w="0" w:type="dxa"/>
            <w:left w:w="108" w:type="dxa"/>
            <w:bottom w:w="0" w:type="dxa"/>
            <w:right w:w="108" w:type="dxa"/>
          </w:tblCellMar>
        </w:tblPrEx>
        <w:trPr>
          <w:trHeight w:val="340" w:hRule="atLeast"/>
          <w:tblHeader/>
        </w:trPr>
        <w:tc>
          <w:tcPr>
            <w:tcW w:w="2959"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项目</w:t>
            </w:r>
          </w:p>
        </w:tc>
        <w:tc>
          <w:tcPr>
            <w:tcW w:w="1858"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预算数</w:t>
            </w:r>
          </w:p>
        </w:tc>
        <w:tc>
          <w:tcPr>
            <w:tcW w:w="3316"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项 目</w:t>
            </w:r>
          </w:p>
        </w:tc>
        <w:tc>
          <w:tcPr>
            <w:tcW w:w="6751"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预算数</w:t>
            </w:r>
          </w:p>
        </w:tc>
      </w:tr>
      <w:tr>
        <w:tblPrEx>
          <w:tblCellMar>
            <w:top w:w="0" w:type="dxa"/>
            <w:left w:w="108" w:type="dxa"/>
            <w:bottom w:w="0" w:type="dxa"/>
            <w:right w:w="108" w:type="dxa"/>
          </w:tblCellMar>
        </w:tblPrEx>
        <w:trPr>
          <w:trHeight w:val="340" w:hRule="atLeast"/>
          <w:tblHeader/>
        </w:trPr>
        <w:tc>
          <w:tcPr>
            <w:tcW w:w="295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highlight w:val="none"/>
              </w:rPr>
            </w:pPr>
          </w:p>
        </w:tc>
        <w:tc>
          <w:tcPr>
            <w:tcW w:w="185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highlight w:val="none"/>
              </w:rPr>
            </w:pPr>
          </w:p>
        </w:tc>
        <w:tc>
          <w:tcPr>
            <w:tcW w:w="331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总计</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一般公共预算</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政府性基金预算</w:t>
            </w: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highlight w:val="none"/>
              </w:rPr>
            </w:pPr>
            <w:r>
              <w:rPr>
                <w:rFonts w:hint="eastAsia" w:ascii="黑体" w:hAnsi="黑体" w:eastAsia="黑体" w:cs="Arial"/>
                <w:color w:val="000000"/>
                <w:kern w:val="0"/>
                <w:sz w:val="18"/>
                <w:szCs w:val="18"/>
                <w:highlight w:val="none"/>
              </w:rPr>
              <w:t>国有资本经营预算</w:t>
            </w: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一、一般公共预算收入</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一、一般公共服务支出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1064.83</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二、政府性基金预算收入</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二、外交支出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三、国有资本经营预算收入</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三、国防支出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四、公共安全支出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五、教育支出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六、科学技术支出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七、文化旅游体育与传媒支出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八、社会保障和就业支出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84.58</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84.58</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九、卫生健康支出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52.19</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十、节能环保支出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十一、城乡社区支出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十二、农林水支出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十三、交通运输支出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bottom"/>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十四、资源勘探工业信息等支出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十五、商业服务业等支出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十六、金融支出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十七、援助其他地区支出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十八、自然资源海洋气象等支出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十九、住房保障支出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69.76</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二十、粮油物资储备支出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二十一、国有资本经营预算支出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二十二、灾害防治及应急管理支出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二十三、其他支出</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bottom"/>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本  年  收  入  合  计</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本  年  支  出  合  计</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上年结转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结转下年</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其中：一般公共预算结转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xml:space="preserve">      政府性基金预算结转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xml:space="preserve">      国有资本经营预算结转</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858"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仿宋_GB2312" w:hAnsi="宋体" w:eastAsia="仿宋_GB2312" w:cs="Arial"/>
                <w:color w:val="000000"/>
                <w:kern w:val="0"/>
                <w:sz w:val="18"/>
                <w:szCs w:val="18"/>
                <w:highlight w:val="none"/>
              </w:rPr>
            </w:pPr>
          </w:p>
        </w:tc>
        <w:tc>
          <w:tcPr>
            <w:tcW w:w="33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　</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r>
        <w:tblPrEx>
          <w:tblCellMar>
            <w:top w:w="0" w:type="dxa"/>
            <w:left w:w="108" w:type="dxa"/>
            <w:bottom w:w="0" w:type="dxa"/>
            <w:right w:w="108" w:type="dxa"/>
          </w:tblCellMar>
        </w:tblPrEx>
        <w:trPr>
          <w:trHeight w:val="340" w:hRule="atLeast"/>
        </w:trPr>
        <w:tc>
          <w:tcPr>
            <w:tcW w:w="295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收  入  总  计</w:t>
            </w:r>
          </w:p>
        </w:tc>
        <w:tc>
          <w:tcPr>
            <w:tcW w:w="1858"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33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r>
              <w:rPr>
                <w:rFonts w:hint="eastAsia" w:ascii="仿宋_GB2312" w:hAnsi="宋体" w:eastAsia="仿宋_GB2312" w:cs="Arial"/>
                <w:color w:val="000000"/>
                <w:kern w:val="0"/>
                <w:sz w:val="18"/>
                <w:szCs w:val="18"/>
                <w:highlight w:val="none"/>
              </w:rPr>
              <w:t>支  出  总  计</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仿宋_GB2312" w:hAnsi="宋体" w:eastAsia="仿宋_GB2312" w:cs="Arial"/>
                <w:color w:val="000000"/>
                <w:kern w:val="0"/>
                <w:sz w:val="18"/>
                <w:szCs w:val="18"/>
                <w:highlight w:val="none"/>
                <w:lang w:val="en-US" w:eastAsia="zh-CN"/>
              </w:rPr>
            </w:pPr>
            <w:r>
              <w:rPr>
                <w:rFonts w:hint="eastAsia" w:ascii="仿宋_GB2312" w:hAnsi="宋体" w:eastAsia="仿宋_GB2312" w:cs="Arial"/>
                <w:color w:val="000000"/>
                <w:kern w:val="0"/>
                <w:sz w:val="18"/>
                <w:szCs w:val="18"/>
                <w:highlight w:val="none"/>
                <w:lang w:val="en-US" w:eastAsia="zh-CN"/>
              </w:rPr>
              <w:t>1271.36</w:t>
            </w:r>
          </w:p>
        </w:tc>
        <w:tc>
          <w:tcPr>
            <w:tcW w:w="167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c>
          <w:tcPr>
            <w:tcW w:w="174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highlight w:val="none"/>
              </w:rPr>
            </w:pPr>
          </w:p>
        </w:tc>
      </w:tr>
    </w:tbl>
    <w:p>
      <w:pPr>
        <w:jc w:val="left"/>
        <w:rPr>
          <w:rFonts w:hint="eastAsia" w:ascii="仿宋_GB2312" w:eastAsia="仿宋_GB2312"/>
          <w:b/>
          <w:szCs w:val="21"/>
          <w:highlight w:val="none"/>
        </w:rPr>
      </w:pPr>
    </w:p>
    <w:p>
      <w:pPr>
        <w:jc w:val="left"/>
        <w:rPr>
          <w:rFonts w:ascii="仿宋_GB2312" w:eastAsia="仿宋_GB2312"/>
          <w:b/>
          <w:sz w:val="30"/>
          <w:szCs w:val="30"/>
          <w:highlight w:val="none"/>
        </w:rPr>
      </w:pPr>
      <w:r>
        <w:rPr>
          <w:rFonts w:ascii="仿宋_GB2312" w:eastAsia="仿宋_GB2312"/>
          <w:b/>
          <w:sz w:val="30"/>
          <w:szCs w:val="30"/>
          <w:highlight w:val="none"/>
        </w:rPr>
        <w:br w:type="page"/>
      </w:r>
    </w:p>
    <w:tbl>
      <w:tblPr>
        <w:tblStyle w:val="8"/>
        <w:tblW w:w="14600" w:type="dxa"/>
        <w:tblInd w:w="0" w:type="dxa"/>
        <w:tblLayout w:type="fixed"/>
        <w:tblCellMar>
          <w:top w:w="0" w:type="dxa"/>
          <w:left w:w="0" w:type="dxa"/>
          <w:bottom w:w="0" w:type="dxa"/>
          <w:right w:w="0" w:type="dxa"/>
        </w:tblCellMar>
      </w:tblPr>
      <w:tblGrid>
        <w:gridCol w:w="954"/>
        <w:gridCol w:w="955"/>
        <w:gridCol w:w="958"/>
        <w:gridCol w:w="3060"/>
        <w:gridCol w:w="1670"/>
        <w:gridCol w:w="1793"/>
        <w:gridCol w:w="1793"/>
        <w:gridCol w:w="1793"/>
        <w:gridCol w:w="1624"/>
      </w:tblGrid>
      <w:tr>
        <w:tblPrEx>
          <w:tblCellMar>
            <w:top w:w="0" w:type="dxa"/>
            <w:left w:w="0" w:type="dxa"/>
            <w:bottom w:w="0" w:type="dxa"/>
            <w:right w:w="0" w:type="dxa"/>
          </w:tblCellMar>
        </w:tblPrEx>
        <w:trPr>
          <w:trHeight w:val="450" w:hRule="atLeast"/>
          <w:tblHeader/>
        </w:trPr>
        <w:tc>
          <w:tcPr>
            <w:tcW w:w="1460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ascii="黑体" w:hAnsi="黑体" w:eastAsia="黑体"/>
                <w:bCs/>
                <w:szCs w:val="21"/>
                <w:highlight w:val="none"/>
              </w:rPr>
            </w:pPr>
            <w:bookmarkStart w:id="1" w:name="_Hlk94088461"/>
            <w:r>
              <w:rPr>
                <w:rFonts w:hint="eastAsia" w:ascii="黑体" w:hAnsi="黑体" w:eastAsia="黑体"/>
                <w:bCs/>
                <w:szCs w:val="21"/>
                <w:highlight w:val="none"/>
              </w:rPr>
              <w:t>公开表5</w:t>
            </w:r>
          </w:p>
          <w:p>
            <w:pPr>
              <w:jc w:val="center"/>
              <w:rPr>
                <w:rFonts w:ascii="黑体" w:hAnsi="黑体" w:eastAsia="黑体"/>
                <w:bCs/>
                <w:sz w:val="28"/>
                <w:szCs w:val="28"/>
                <w:highlight w:val="none"/>
              </w:rPr>
            </w:pPr>
            <w:r>
              <w:rPr>
                <w:rFonts w:hint="eastAsia" w:ascii="黑体" w:hAnsi="黑体" w:eastAsia="黑体"/>
                <w:bCs/>
                <w:sz w:val="28"/>
                <w:szCs w:val="28"/>
                <w:highlight w:val="none"/>
              </w:rPr>
              <w:t>一般公共预算支出</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p>
            <w:pPr>
              <w:widowControl/>
              <w:jc w:val="right"/>
              <w:textAlignment w:val="center"/>
              <w:rPr>
                <w:rFonts w:ascii="宋体" w:hAnsi="宋体" w:cs="宋体"/>
                <w:color w:val="000000"/>
                <w:sz w:val="20"/>
                <w:szCs w:val="20"/>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584" w:hRule="atLeast"/>
          <w:tblHeader/>
        </w:trPr>
        <w:tc>
          <w:tcPr>
            <w:tcW w:w="2867"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科目编码</w:t>
            </w:r>
          </w:p>
        </w:tc>
        <w:tc>
          <w:tcPr>
            <w:tcW w:w="30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科目名称</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合计</w:t>
            </w:r>
          </w:p>
        </w:tc>
        <w:tc>
          <w:tcPr>
            <w:tcW w:w="5379"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基本支出</w:t>
            </w:r>
          </w:p>
        </w:tc>
        <w:tc>
          <w:tcPr>
            <w:tcW w:w="1624"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项目支出</w:t>
            </w:r>
          </w:p>
        </w:tc>
      </w:tr>
      <w:tr>
        <w:tblPrEx>
          <w:tblCellMar>
            <w:top w:w="0" w:type="dxa"/>
            <w:left w:w="0" w:type="dxa"/>
            <w:bottom w:w="0" w:type="dxa"/>
            <w:right w:w="0" w:type="dxa"/>
          </w:tblCellMar>
        </w:tblPrEx>
        <w:trPr>
          <w:trHeight w:val="499" w:hRule="atLeast"/>
          <w:tblHeader/>
        </w:trPr>
        <w:tc>
          <w:tcPr>
            <w:tcW w:w="9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类</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款</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w:t>
            </w: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小计</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人员支出</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日常公用支出</w:t>
            </w: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312" w:hRule="atLeast"/>
          <w:tblHeader/>
        </w:trPr>
        <w:tc>
          <w:tcPr>
            <w:tcW w:w="9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499" w:hRule="atLeast"/>
        </w:trPr>
        <w:tc>
          <w:tcPr>
            <w:tcW w:w="592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highlight w:val="none"/>
              </w:rPr>
            </w:pPr>
            <w:r>
              <w:rPr>
                <w:rFonts w:hint="eastAsia" w:ascii="仿宋_GB2312" w:hAnsi="宋体" w:eastAsia="仿宋_GB2312" w:cs="宋体"/>
                <w:color w:val="000000"/>
                <w:kern w:val="0"/>
                <w:sz w:val="18"/>
                <w:szCs w:val="18"/>
                <w:highlight w:val="none"/>
                <w:lang w:bidi="ar"/>
              </w:rPr>
              <w:t>合    计</w:t>
            </w:r>
          </w:p>
        </w:tc>
        <w:tc>
          <w:tcPr>
            <w:tcW w:w="167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1271.36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899.36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809.76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89.60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372.00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9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一般公共服务支出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1064.83</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692.83</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603.23</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89.60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372.00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34</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统战事务</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1064.83</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692.83</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603.23</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89.60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372.00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34</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01</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行政运行</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956.66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584.66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506.26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78.40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372.00</w:t>
            </w: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34</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50</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事业运行</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108.17</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108.17</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96.97</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11.20</w:t>
            </w: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社会保障和就业支出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84.58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84.58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84.58</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05</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行政事业单位养老支出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81.69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81.69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81.69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05</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05</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机关事业单位基本养老保险缴费支出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81.69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81.69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81.69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99</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其他社会保障和就业支出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2.90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2.90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2.90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208</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99</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99</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其他社会保障和就业支出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2.90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2.90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2.90</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卫生健康支出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52.19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52.19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52.19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11</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行政事业单位医疗</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52.19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52.19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52.19</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11</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01</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行政单位医疗</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34.92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34.92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34.92</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11</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02</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事业单位医疗</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6.94</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210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11</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03</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公务员医疗补助</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10.33</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10.33</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10.33</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221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住房保障支出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221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02</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住房改革支出</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221</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02</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01</w:t>
            </w: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 xml:space="preserve">    住房公积金</w:t>
            </w: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r>
              <w:rPr>
                <w:rFonts w:hint="eastAsia" w:ascii="仿宋_GB2312" w:hAnsi="宋体" w:eastAsia="仿宋_GB2312" w:cs="宋体"/>
                <w:color w:val="000000"/>
                <w:sz w:val="18"/>
                <w:szCs w:val="18"/>
                <w:highlight w:val="none"/>
                <w:lang w:val="en-US" w:eastAsia="zh-CN"/>
              </w:rPr>
              <w:t>69.76</w:t>
            </w: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宋体" w:eastAsia="仿宋_GB2312" w:cs="宋体"/>
                <w:color w:val="000000"/>
                <w:sz w:val="18"/>
                <w:szCs w:val="18"/>
                <w:highlight w:val="none"/>
                <w:lang w:val="en-US" w:eastAsia="zh-CN"/>
              </w:rPr>
            </w:pPr>
          </w:p>
        </w:tc>
      </w:tr>
      <w:bookmarkEnd w:id="1"/>
    </w:tbl>
    <w:p>
      <w:pPr>
        <w:widowControl/>
        <w:jc w:val="left"/>
        <w:rPr>
          <w:rFonts w:ascii="宋体" w:hAnsi="宋体"/>
          <w:b/>
          <w:szCs w:val="21"/>
          <w:highlight w:val="none"/>
        </w:rPr>
      </w:pPr>
      <w:r>
        <w:rPr>
          <w:rFonts w:ascii="宋体" w:hAnsi="宋体"/>
          <w:b/>
          <w:szCs w:val="21"/>
          <w:highlight w:val="none"/>
        </w:rPr>
        <w:br w:type="page"/>
      </w:r>
    </w:p>
    <w:tbl>
      <w:tblPr>
        <w:tblStyle w:val="8"/>
        <w:tblW w:w="14589" w:type="dxa"/>
        <w:tblInd w:w="0" w:type="dxa"/>
        <w:tblLayout w:type="fixed"/>
        <w:tblCellMar>
          <w:top w:w="0" w:type="dxa"/>
          <w:left w:w="0" w:type="dxa"/>
          <w:bottom w:w="0" w:type="dxa"/>
          <w:right w:w="0" w:type="dxa"/>
        </w:tblCellMar>
      </w:tblPr>
      <w:tblGrid>
        <w:gridCol w:w="686"/>
        <w:gridCol w:w="660"/>
        <w:gridCol w:w="2938"/>
        <w:gridCol w:w="686"/>
        <w:gridCol w:w="709"/>
        <w:gridCol w:w="3886"/>
        <w:gridCol w:w="1672"/>
        <w:gridCol w:w="1672"/>
        <w:gridCol w:w="1680"/>
      </w:tblGrid>
      <w:tr>
        <w:tblPrEx>
          <w:tblCellMar>
            <w:top w:w="0" w:type="dxa"/>
            <w:left w:w="0" w:type="dxa"/>
            <w:bottom w:w="0" w:type="dxa"/>
            <w:right w:w="0" w:type="dxa"/>
          </w:tblCellMar>
        </w:tblPrEx>
        <w:trPr>
          <w:trHeight w:val="473" w:hRule="atLeast"/>
        </w:trPr>
        <w:tc>
          <w:tcPr>
            <w:tcW w:w="14589" w:type="dxa"/>
            <w:gridSpan w:val="9"/>
            <w:tcBorders>
              <w:top w:val="nil"/>
              <w:left w:val="nil"/>
              <w:bottom w:val="nil"/>
              <w:right w:val="nil"/>
            </w:tcBorders>
            <w:shd w:val="clear" w:color="000000" w:fill="FFFFFF"/>
            <w:noWrap/>
            <w:tcMar>
              <w:top w:w="10" w:type="dxa"/>
              <w:left w:w="10" w:type="dxa"/>
              <w:right w:w="10" w:type="dxa"/>
            </w:tcMar>
            <w:vAlign w:val="center"/>
          </w:tcPr>
          <w:p>
            <w:pPr>
              <w:jc w:val="right"/>
              <w:rPr>
                <w:rFonts w:ascii="宋体" w:hAnsi="宋体" w:eastAsia="黑体" w:cs="宋体"/>
                <w:color w:val="000000"/>
                <w:sz w:val="18"/>
                <w:szCs w:val="18"/>
                <w:highlight w:val="none"/>
              </w:rPr>
            </w:pPr>
            <w:r>
              <w:rPr>
                <w:rFonts w:hint="eastAsia" w:ascii="黑体" w:hAnsi="黑体" w:eastAsia="黑体"/>
                <w:bCs/>
                <w:szCs w:val="21"/>
                <w:highlight w:val="none"/>
              </w:rPr>
              <w:t>公开表</w:t>
            </w:r>
            <w:r>
              <w:rPr>
                <w:rFonts w:ascii="黑体" w:hAnsi="黑体" w:eastAsia="黑体"/>
                <w:bCs/>
                <w:szCs w:val="21"/>
                <w:highlight w:val="none"/>
              </w:rPr>
              <w:t>6</w:t>
            </w:r>
          </w:p>
        </w:tc>
      </w:tr>
      <w:tr>
        <w:tblPrEx>
          <w:tblCellMar>
            <w:top w:w="0" w:type="dxa"/>
            <w:left w:w="0" w:type="dxa"/>
            <w:bottom w:w="0" w:type="dxa"/>
            <w:right w:w="0" w:type="dxa"/>
          </w:tblCellMar>
        </w:tblPrEx>
        <w:trPr>
          <w:trHeight w:val="641" w:hRule="atLeast"/>
        </w:trPr>
        <w:tc>
          <w:tcPr>
            <w:tcW w:w="14589" w:type="dxa"/>
            <w:gridSpan w:val="9"/>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highlight w:val="none"/>
              </w:rPr>
            </w:pPr>
            <w:r>
              <w:rPr>
                <w:rFonts w:hint="eastAsia" w:ascii="黑体" w:hAnsi="黑体" w:eastAsia="黑体"/>
                <w:bCs/>
                <w:sz w:val="28"/>
                <w:szCs w:val="28"/>
                <w:highlight w:val="none"/>
              </w:rPr>
              <w:t>一般公共预算基本支出</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tc>
      </w:tr>
      <w:tr>
        <w:tblPrEx>
          <w:tblCellMar>
            <w:top w:w="0" w:type="dxa"/>
            <w:left w:w="0" w:type="dxa"/>
            <w:bottom w:w="0" w:type="dxa"/>
            <w:right w:w="0" w:type="dxa"/>
          </w:tblCellMar>
        </w:tblPrEx>
        <w:trPr>
          <w:trHeight w:val="363" w:hRule="atLeast"/>
        </w:trPr>
        <w:tc>
          <w:tcPr>
            <w:tcW w:w="14589" w:type="dxa"/>
            <w:gridSpan w:val="9"/>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510" w:hRule="atLeast"/>
        </w:trPr>
        <w:tc>
          <w:tcPr>
            <w:tcW w:w="1346"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科目编码</w:t>
            </w:r>
          </w:p>
        </w:tc>
        <w:tc>
          <w:tcPr>
            <w:tcW w:w="293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部门预算支出</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经济分类科目名称</w:t>
            </w:r>
          </w:p>
        </w:tc>
        <w:tc>
          <w:tcPr>
            <w:tcW w:w="139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sz w:val="18"/>
                <w:szCs w:val="18"/>
                <w:highlight w:val="none"/>
              </w:rPr>
              <w:t>科目编码</w:t>
            </w:r>
          </w:p>
        </w:tc>
        <w:tc>
          <w:tcPr>
            <w:tcW w:w="3886"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textAlignment w:val="center"/>
              <w:rPr>
                <w:rFonts w:hint="eastAsia" w:ascii="黑体" w:hAnsi="黑体" w:eastAsia="黑体" w:cs="黑体"/>
                <w:color w:val="000000"/>
                <w:sz w:val="18"/>
                <w:szCs w:val="18"/>
                <w:highlight w:val="none"/>
              </w:rPr>
            </w:pPr>
            <w:r>
              <w:rPr>
                <w:rFonts w:hint="eastAsia" w:ascii="黑体" w:hAnsi="黑体" w:eastAsia="黑体" w:cs="黑体"/>
                <w:color w:val="000000"/>
                <w:sz w:val="18"/>
                <w:szCs w:val="18"/>
                <w:highlight w:val="none"/>
              </w:rPr>
              <w:t>政府预算支出</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sz w:val="18"/>
                <w:szCs w:val="18"/>
                <w:highlight w:val="none"/>
              </w:rPr>
              <w:t>经济分类科目名称</w:t>
            </w:r>
          </w:p>
        </w:tc>
        <w:tc>
          <w:tcPr>
            <w:tcW w:w="5024"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基本支出预算</w:t>
            </w:r>
          </w:p>
        </w:tc>
      </w:tr>
      <w:tr>
        <w:tblPrEx>
          <w:tblCellMar>
            <w:top w:w="0" w:type="dxa"/>
            <w:left w:w="0" w:type="dxa"/>
            <w:bottom w:w="0" w:type="dxa"/>
            <w:right w:w="0" w:type="dxa"/>
          </w:tblCellMar>
        </w:tblPrEx>
        <w:trPr>
          <w:trHeight w:val="43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类</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款</w:t>
            </w:r>
          </w:p>
        </w:tc>
        <w:tc>
          <w:tcPr>
            <w:tcW w:w="293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sz w:val="18"/>
                <w:szCs w:val="18"/>
                <w:highlight w:val="none"/>
              </w:rPr>
              <w:t>类</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sz w:val="18"/>
                <w:szCs w:val="18"/>
                <w:highlight w:val="none"/>
              </w:rPr>
              <w:t>款</w:t>
            </w:r>
          </w:p>
        </w:tc>
        <w:tc>
          <w:tcPr>
            <w:tcW w:w="3886"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人员支出</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日常公用支出</w:t>
            </w:r>
          </w:p>
        </w:tc>
      </w:tr>
      <w:tr>
        <w:tblPrEx>
          <w:tblCellMar>
            <w:top w:w="0" w:type="dxa"/>
            <w:left w:w="0" w:type="dxa"/>
            <w:bottom w:w="0" w:type="dxa"/>
            <w:right w:w="0" w:type="dxa"/>
          </w:tblCellMar>
        </w:tblPrEx>
        <w:trPr>
          <w:trHeight w:val="375" w:hRule="atLeast"/>
        </w:trPr>
        <w:tc>
          <w:tcPr>
            <w:tcW w:w="9565"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合    计</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899.36</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809.76</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default"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89.60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工资福利支出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机关工资福利支出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650.36</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650.36</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基本工资</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工资奖金津补贴</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153.87</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153.87</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津贴补贴</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工资奖金津补贴</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165.23</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165.23</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03</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奖金</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工资奖金津补贴</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159.69</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159.69</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08</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机关事业单位基本养老保险缴费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社会保障缴费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68.14</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68.14</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10</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职工基本医疗保险缴费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社会保障缴费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34.92</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34.92</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公务员医疗补助缴费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社会保障缴费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8.59</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8.59</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12</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其他社会保障缴费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社会保障缴费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1.66</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1.66</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13</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住房公积金</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501</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03</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住房公积金</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58.26</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58.26</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工资福利支出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对事业单位经常性补助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130.77</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130.77</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基本工资</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27.21</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27.21</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津贴补贴</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11.12</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11.12</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03</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奖金</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30.16</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30.16</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07</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绩效工资</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27.33</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27.33</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08</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机关事业单位基本养老保险缴费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13.55</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13.55</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10</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职工基本医疗保险缴费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6.94</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6.94</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公务员医疗补助缴费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1.74</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1.74</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12</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其他社会保障缴费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1.24</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1.24</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301</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13</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住房公积金</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工资福利支出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11.49</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11.49</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商品和服务支出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机关商品和服务支出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103.82</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25.42</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78.40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27.50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27.50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印刷费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07</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邮电费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3.50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3.50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差旅费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9.90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9.90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13</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维修（护）费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09</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维修（护）费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15</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会议费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会议费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16</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培训费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03</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培训费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6.00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17</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公务接待费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06</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公务接待费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3.50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3.50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39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其他交通费用</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办公经费</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25.42</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25.42</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99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其他商品和服务支出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502</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99</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17.00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17.00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商品和服务支出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对事业单位经常性补助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12.35</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1.15</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11.20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办公费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4.70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4.70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11</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差旅费</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39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其他交通费用</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1.15</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1.15</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302</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99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其他商品和服务支出</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505</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02</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商品和服务支出</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3.50</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3.50</w:t>
            </w: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303</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对个人和家庭的补助</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509</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对个人和家庭的补助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2.06</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2.06</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303</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05</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生活补助</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509</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社会福利和救助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2.03</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2.03</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r>
        <w:tblPrEx>
          <w:tblCellMar>
            <w:top w:w="0" w:type="dxa"/>
            <w:left w:w="0" w:type="dxa"/>
            <w:bottom w:w="0" w:type="dxa"/>
            <w:right w:w="0" w:type="dxa"/>
          </w:tblCellMar>
        </w:tblPrEx>
        <w:trPr>
          <w:trHeight w:val="375" w:hRule="atLeast"/>
        </w:trPr>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303</w:t>
            </w:r>
          </w:p>
        </w:tc>
        <w:tc>
          <w:tcPr>
            <w:tcW w:w="66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09</w:t>
            </w:r>
          </w:p>
        </w:tc>
        <w:tc>
          <w:tcPr>
            <w:tcW w:w="293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奖励金</w:t>
            </w:r>
          </w:p>
        </w:tc>
        <w:tc>
          <w:tcPr>
            <w:tcW w:w="6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509</w:t>
            </w:r>
          </w:p>
        </w:tc>
        <w:tc>
          <w:tcPr>
            <w:tcW w:w="70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xml:space="preserve">  01</w:t>
            </w:r>
          </w:p>
        </w:tc>
        <w:tc>
          <w:tcPr>
            <w:tcW w:w="3886"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　　社会福利和救助</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0.04</w:t>
            </w:r>
          </w:p>
        </w:tc>
        <w:tc>
          <w:tcPr>
            <w:tcW w:w="1672"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r>
              <w:rPr>
                <w:rFonts w:hint="eastAsia" w:ascii="仿宋_GB2312" w:hAnsi="仿宋_GB2312" w:eastAsia="仿宋_GB2312" w:cs="仿宋_GB2312"/>
                <w:color w:val="000000"/>
                <w:sz w:val="18"/>
                <w:szCs w:val="18"/>
                <w:highlight w:val="none"/>
                <w:lang w:val="en-US" w:eastAsia="zh-CN"/>
              </w:rPr>
              <w:t>0.04</w:t>
            </w:r>
          </w:p>
        </w:tc>
        <w:tc>
          <w:tcPr>
            <w:tcW w:w="1680"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highlight w:val="none"/>
                <w:lang w:val="en-US" w:eastAsia="zh-CN"/>
              </w:rPr>
            </w:pPr>
          </w:p>
        </w:tc>
      </w:tr>
    </w:tbl>
    <w:p>
      <w:pPr>
        <w:widowControl/>
        <w:jc w:val="left"/>
        <w:rPr>
          <w:rFonts w:ascii="宋体" w:hAnsi="宋体"/>
          <w:b/>
          <w:szCs w:val="21"/>
          <w:highlight w:val="none"/>
        </w:rPr>
      </w:pPr>
      <w:r>
        <w:rPr>
          <w:rFonts w:ascii="仿宋_GB2312" w:eastAsia="仿宋_GB2312"/>
          <w:b/>
          <w:sz w:val="30"/>
          <w:szCs w:val="30"/>
          <w:highlight w:val="none"/>
        </w:rPr>
        <w:br w:type="page"/>
      </w:r>
    </w:p>
    <w:tbl>
      <w:tblPr>
        <w:tblStyle w:val="8"/>
        <w:tblW w:w="14590" w:type="dxa"/>
        <w:tblInd w:w="0" w:type="dxa"/>
        <w:tblLayout w:type="fixed"/>
        <w:tblCellMar>
          <w:top w:w="0" w:type="dxa"/>
          <w:left w:w="0" w:type="dxa"/>
          <w:bottom w:w="0" w:type="dxa"/>
          <w:right w:w="0" w:type="dxa"/>
        </w:tblCellMar>
      </w:tblPr>
      <w:tblGrid>
        <w:gridCol w:w="1179"/>
        <w:gridCol w:w="1211"/>
        <w:gridCol w:w="1138"/>
        <w:gridCol w:w="1234"/>
        <w:gridCol w:w="1167"/>
        <w:gridCol w:w="1339"/>
        <w:gridCol w:w="1138"/>
        <w:gridCol w:w="1278"/>
        <w:gridCol w:w="1147"/>
        <w:gridCol w:w="1129"/>
        <w:gridCol w:w="1202"/>
        <w:gridCol w:w="1428"/>
      </w:tblGrid>
      <w:tr>
        <w:tblPrEx>
          <w:tblCellMar>
            <w:top w:w="0" w:type="dxa"/>
            <w:left w:w="0" w:type="dxa"/>
            <w:bottom w:w="0" w:type="dxa"/>
            <w:right w:w="0" w:type="dxa"/>
          </w:tblCellMar>
        </w:tblPrEx>
        <w:trPr>
          <w:trHeight w:val="405" w:hRule="atLeast"/>
        </w:trPr>
        <w:tc>
          <w:tcPr>
            <w:tcW w:w="14590" w:type="dxa"/>
            <w:gridSpan w:val="12"/>
            <w:tcBorders>
              <w:top w:val="nil"/>
              <w:left w:val="nil"/>
              <w:bottom w:val="nil"/>
              <w:right w:val="nil"/>
            </w:tcBorders>
            <w:shd w:val="clear" w:color="000000" w:fill="FFFFFF"/>
            <w:noWrap/>
            <w:tcMar>
              <w:top w:w="10" w:type="dxa"/>
              <w:left w:w="10" w:type="dxa"/>
              <w:right w:w="10" w:type="dxa"/>
            </w:tcMar>
            <w:vAlign w:val="center"/>
          </w:tcPr>
          <w:p>
            <w:pPr>
              <w:jc w:val="right"/>
              <w:rPr>
                <w:rFonts w:ascii="黑体" w:hAnsi="黑体" w:eastAsia="黑体"/>
                <w:bCs/>
                <w:szCs w:val="21"/>
                <w:highlight w:val="none"/>
              </w:rPr>
            </w:pPr>
            <w:r>
              <w:rPr>
                <w:rFonts w:hint="eastAsia" w:ascii="黑体" w:hAnsi="黑体" w:eastAsia="黑体"/>
                <w:bCs/>
                <w:szCs w:val="21"/>
                <w:highlight w:val="none"/>
              </w:rPr>
              <w:t>公开表</w:t>
            </w:r>
            <w:r>
              <w:rPr>
                <w:rFonts w:ascii="黑体" w:hAnsi="黑体" w:eastAsia="黑体"/>
                <w:bCs/>
                <w:szCs w:val="21"/>
                <w:highlight w:val="none"/>
              </w:rPr>
              <w:t>7</w:t>
            </w:r>
          </w:p>
        </w:tc>
      </w:tr>
      <w:tr>
        <w:tblPrEx>
          <w:tblCellMar>
            <w:top w:w="0" w:type="dxa"/>
            <w:left w:w="0" w:type="dxa"/>
            <w:bottom w:w="0" w:type="dxa"/>
            <w:right w:w="0" w:type="dxa"/>
          </w:tblCellMar>
        </w:tblPrEx>
        <w:trPr>
          <w:trHeight w:val="585" w:hRule="atLeast"/>
        </w:trPr>
        <w:tc>
          <w:tcPr>
            <w:tcW w:w="14590" w:type="dxa"/>
            <w:gridSpan w:val="12"/>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黑体" w:hAnsi="黑体" w:eastAsia="黑体"/>
                <w:bCs/>
                <w:sz w:val="28"/>
                <w:szCs w:val="28"/>
                <w:highlight w:val="none"/>
              </w:rPr>
            </w:pPr>
            <w:r>
              <w:rPr>
                <w:rFonts w:hint="eastAsia" w:ascii="黑体" w:hAnsi="黑体" w:eastAsia="黑体"/>
                <w:bCs/>
                <w:sz w:val="28"/>
                <w:szCs w:val="28"/>
                <w:highlight w:val="none"/>
              </w:rPr>
              <w:t>一般公共预算“三公”经费支出</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tc>
      </w:tr>
      <w:tr>
        <w:tblPrEx>
          <w:tblCellMar>
            <w:top w:w="0" w:type="dxa"/>
            <w:left w:w="0" w:type="dxa"/>
            <w:bottom w:w="0" w:type="dxa"/>
            <w:right w:w="0" w:type="dxa"/>
          </w:tblCellMar>
        </w:tblPrEx>
        <w:trPr>
          <w:trHeight w:val="480" w:hRule="atLeast"/>
        </w:trPr>
        <w:tc>
          <w:tcPr>
            <w:tcW w:w="14590" w:type="dxa"/>
            <w:gridSpan w:val="12"/>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宋体" w:hAnsi="宋体" w:cs="宋体"/>
                <w:color w:val="000000"/>
                <w:kern w:val="0"/>
                <w:sz w:val="18"/>
                <w:szCs w:val="18"/>
                <w:highlight w:val="none"/>
                <w:lang w:bidi="ar"/>
              </w:rPr>
            </w:pPr>
            <w:r>
              <w:rPr>
                <w:rFonts w:hint="eastAsia" w:ascii="宋体" w:hAnsi="宋体" w:cs="宋体"/>
                <w:color w:val="000000"/>
                <w:kern w:val="0"/>
                <w:sz w:val="18"/>
                <w:szCs w:val="18"/>
                <w:highlight w:val="none"/>
                <w:lang w:bidi="ar"/>
              </w:rPr>
              <w:t>单位：万元</w:t>
            </w:r>
          </w:p>
        </w:tc>
      </w:tr>
      <w:tr>
        <w:tblPrEx>
          <w:tblCellMar>
            <w:top w:w="0" w:type="dxa"/>
            <w:left w:w="0" w:type="dxa"/>
            <w:bottom w:w="0" w:type="dxa"/>
            <w:right w:w="0" w:type="dxa"/>
          </w:tblCellMar>
        </w:tblPrEx>
        <w:trPr>
          <w:trHeight w:val="480" w:hRule="atLeast"/>
        </w:trPr>
        <w:tc>
          <w:tcPr>
            <w:tcW w:w="7268"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eastAsia="zh-CN" w:bidi="ar"/>
              </w:rPr>
              <w:t>2022</w:t>
            </w:r>
            <w:r>
              <w:rPr>
                <w:rFonts w:hint="eastAsia" w:ascii="黑体" w:hAnsi="黑体" w:eastAsia="黑体" w:cs="黑体"/>
                <w:color w:val="000000"/>
                <w:kern w:val="0"/>
                <w:sz w:val="18"/>
                <w:szCs w:val="18"/>
                <w:highlight w:val="none"/>
                <w:lang w:bidi="ar"/>
              </w:rPr>
              <w:t>年预算数</w:t>
            </w:r>
          </w:p>
        </w:tc>
        <w:tc>
          <w:tcPr>
            <w:tcW w:w="7322"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eastAsia="zh-CN" w:bidi="ar"/>
              </w:rPr>
              <w:t>2023</w:t>
            </w:r>
            <w:r>
              <w:rPr>
                <w:rFonts w:hint="eastAsia" w:ascii="黑体" w:hAnsi="黑体" w:eastAsia="黑体" w:cs="黑体"/>
                <w:color w:val="000000"/>
                <w:kern w:val="0"/>
                <w:sz w:val="18"/>
                <w:szCs w:val="18"/>
                <w:highlight w:val="none"/>
                <w:lang w:bidi="ar"/>
              </w:rPr>
              <w:t>年预算数</w:t>
            </w:r>
          </w:p>
        </w:tc>
      </w:tr>
      <w:tr>
        <w:tblPrEx>
          <w:tblCellMar>
            <w:top w:w="0" w:type="dxa"/>
            <w:left w:w="0" w:type="dxa"/>
            <w:bottom w:w="0" w:type="dxa"/>
            <w:right w:w="0" w:type="dxa"/>
          </w:tblCellMar>
        </w:tblPrEx>
        <w:trPr>
          <w:trHeight w:val="590" w:hRule="atLeast"/>
        </w:trPr>
        <w:tc>
          <w:tcPr>
            <w:tcW w:w="1179"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合计</w:t>
            </w:r>
          </w:p>
        </w:tc>
        <w:tc>
          <w:tcPr>
            <w:tcW w:w="121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因公出国</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（境）经费</w:t>
            </w:r>
          </w:p>
        </w:tc>
        <w:tc>
          <w:tcPr>
            <w:tcW w:w="3539"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公务用车购置及运行维护费</w:t>
            </w:r>
          </w:p>
        </w:tc>
        <w:tc>
          <w:tcPr>
            <w:tcW w:w="1339"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公务接待费</w:t>
            </w:r>
          </w:p>
        </w:tc>
        <w:tc>
          <w:tcPr>
            <w:tcW w:w="113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合计</w:t>
            </w:r>
          </w:p>
        </w:tc>
        <w:tc>
          <w:tcPr>
            <w:tcW w:w="1278"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因公出国</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（境）经费</w:t>
            </w:r>
          </w:p>
        </w:tc>
        <w:tc>
          <w:tcPr>
            <w:tcW w:w="3478"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公务用车购置及运行维护费</w:t>
            </w:r>
          </w:p>
        </w:tc>
        <w:tc>
          <w:tcPr>
            <w:tcW w:w="142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公务接待费</w:t>
            </w:r>
          </w:p>
        </w:tc>
      </w:tr>
      <w:tr>
        <w:tblPrEx>
          <w:tblCellMar>
            <w:top w:w="0" w:type="dxa"/>
            <w:left w:w="0" w:type="dxa"/>
            <w:bottom w:w="0" w:type="dxa"/>
            <w:right w:w="0" w:type="dxa"/>
          </w:tblCellMar>
        </w:tblPrEx>
        <w:trPr>
          <w:trHeight w:val="700" w:hRule="atLeast"/>
        </w:trPr>
        <w:tc>
          <w:tcPr>
            <w:tcW w:w="1179"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21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38"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1234"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公务用车</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购置经费</w:t>
            </w:r>
          </w:p>
        </w:tc>
        <w:tc>
          <w:tcPr>
            <w:tcW w:w="116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公务用车</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运行维护费</w:t>
            </w:r>
          </w:p>
        </w:tc>
        <w:tc>
          <w:tcPr>
            <w:tcW w:w="1339"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3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278"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4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1129"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公务用车</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购置经费</w:t>
            </w:r>
          </w:p>
        </w:tc>
        <w:tc>
          <w:tcPr>
            <w:tcW w:w="1202"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公务用车</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运行维护费</w:t>
            </w:r>
          </w:p>
        </w:tc>
        <w:tc>
          <w:tcPr>
            <w:tcW w:w="142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highlight w:val="none"/>
              </w:rPr>
            </w:pP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val="en-US" w:eastAsia="zh-CN" w:bidi="ar"/>
              </w:rPr>
              <w:t>3.50</w:t>
            </w: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val="en-US" w:eastAsia="zh-CN" w:bidi="ar"/>
              </w:rPr>
              <w:t>3.50</w:t>
            </w: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val="en-US" w:eastAsia="zh-CN" w:bidi="ar"/>
              </w:rPr>
              <w:t>3.50</w:t>
            </w: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val="en-US" w:eastAsia="zh-CN" w:bidi="ar"/>
              </w:rPr>
              <w:t>3.50</w:t>
            </w:r>
            <w:r>
              <w:rPr>
                <w:rFonts w:hint="eastAsia" w:ascii="仿宋_GB2312" w:hAnsi="仿宋_GB2312" w:eastAsia="仿宋_GB2312" w:cs="仿宋_GB2312"/>
                <w:color w:val="000000"/>
                <w:kern w:val="0"/>
                <w:sz w:val="18"/>
                <w:szCs w:val="18"/>
                <w:highlight w:val="none"/>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r>
      <w:tr>
        <w:tblPrEx>
          <w:tblCellMar>
            <w:top w:w="0" w:type="dxa"/>
            <w:left w:w="0" w:type="dxa"/>
            <w:bottom w:w="0" w:type="dxa"/>
            <w:right w:w="0" w:type="dxa"/>
          </w:tblCellMar>
        </w:tblPrEx>
        <w:trPr>
          <w:trHeight w:val="405" w:hRule="atLeast"/>
        </w:trPr>
        <w:tc>
          <w:tcPr>
            <w:tcW w:w="1179"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11"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34"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6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33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7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47"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129"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202"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c>
          <w:tcPr>
            <w:tcW w:w="142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kern w:val="0"/>
                <w:sz w:val="18"/>
                <w:szCs w:val="18"/>
                <w:highlight w:val="none"/>
                <w:lang w:bidi="ar"/>
              </w:rPr>
              <w:t>　</w:t>
            </w:r>
          </w:p>
        </w:tc>
      </w:tr>
    </w:tbl>
    <w:p>
      <w:pPr>
        <w:widowControl/>
        <w:jc w:val="left"/>
        <w:rPr>
          <w:rFonts w:ascii="宋体" w:hAnsi="宋体"/>
          <w:b/>
          <w:szCs w:val="21"/>
          <w:highlight w:val="none"/>
        </w:rPr>
      </w:pPr>
      <w:r>
        <w:rPr>
          <w:rFonts w:hint="eastAsia" w:ascii="黑体" w:hAnsi="黑体" w:eastAsia="黑体"/>
          <w:bCs/>
          <w:szCs w:val="21"/>
          <w:highlight w:val="none"/>
        </w:rPr>
        <w:br w:type="page"/>
      </w:r>
    </w:p>
    <w:tbl>
      <w:tblPr>
        <w:tblStyle w:val="8"/>
        <w:tblW w:w="14600" w:type="dxa"/>
        <w:tblInd w:w="0" w:type="dxa"/>
        <w:tblLayout w:type="fixed"/>
        <w:tblCellMar>
          <w:top w:w="0" w:type="dxa"/>
          <w:left w:w="0" w:type="dxa"/>
          <w:bottom w:w="0" w:type="dxa"/>
          <w:right w:w="0" w:type="dxa"/>
        </w:tblCellMar>
      </w:tblPr>
      <w:tblGrid>
        <w:gridCol w:w="954"/>
        <w:gridCol w:w="955"/>
        <w:gridCol w:w="955"/>
        <w:gridCol w:w="3066"/>
        <w:gridCol w:w="1670"/>
        <w:gridCol w:w="1793"/>
        <w:gridCol w:w="1793"/>
        <w:gridCol w:w="1793"/>
        <w:gridCol w:w="1621"/>
      </w:tblGrid>
      <w:tr>
        <w:tblPrEx>
          <w:tblCellMar>
            <w:top w:w="0" w:type="dxa"/>
            <w:left w:w="0" w:type="dxa"/>
            <w:bottom w:w="0" w:type="dxa"/>
            <w:right w:w="0" w:type="dxa"/>
          </w:tblCellMar>
        </w:tblPrEx>
        <w:trPr>
          <w:trHeight w:val="450" w:hRule="atLeast"/>
          <w:tblHeader/>
        </w:trPr>
        <w:tc>
          <w:tcPr>
            <w:tcW w:w="1460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ascii="黑体" w:hAnsi="黑体" w:eastAsia="黑体"/>
                <w:bCs/>
                <w:szCs w:val="21"/>
                <w:highlight w:val="none"/>
              </w:rPr>
            </w:pPr>
            <w:r>
              <w:rPr>
                <w:rFonts w:hint="eastAsia" w:ascii="黑体" w:hAnsi="黑体" w:eastAsia="黑体"/>
                <w:bCs/>
                <w:szCs w:val="21"/>
                <w:highlight w:val="none"/>
              </w:rPr>
              <w:t>公开表</w:t>
            </w:r>
            <w:r>
              <w:rPr>
                <w:rFonts w:ascii="黑体" w:hAnsi="黑体" w:eastAsia="黑体"/>
                <w:bCs/>
                <w:szCs w:val="21"/>
                <w:highlight w:val="none"/>
              </w:rPr>
              <w:t>8</w:t>
            </w:r>
          </w:p>
          <w:p>
            <w:pPr>
              <w:jc w:val="center"/>
              <w:rPr>
                <w:rFonts w:ascii="黑体" w:hAnsi="黑体" w:eastAsia="黑体"/>
                <w:bCs/>
                <w:sz w:val="28"/>
                <w:szCs w:val="28"/>
                <w:highlight w:val="none"/>
              </w:rPr>
            </w:pPr>
            <w:r>
              <w:rPr>
                <w:rFonts w:hint="eastAsia" w:ascii="黑体" w:hAnsi="黑体" w:eastAsia="黑体"/>
                <w:bCs/>
                <w:sz w:val="28"/>
                <w:szCs w:val="28"/>
                <w:highlight w:val="none"/>
              </w:rPr>
              <w:t>政府性基金预算支出</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p>
            <w:pPr>
              <w:widowControl/>
              <w:jc w:val="right"/>
              <w:textAlignment w:val="center"/>
              <w:rPr>
                <w:rFonts w:ascii="宋体" w:hAnsi="宋体" w:cs="宋体"/>
                <w:color w:val="000000"/>
                <w:sz w:val="20"/>
                <w:szCs w:val="20"/>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584" w:hRule="atLeast"/>
          <w:tblHeader/>
        </w:trPr>
        <w:tc>
          <w:tcPr>
            <w:tcW w:w="2864"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科目编码</w:t>
            </w:r>
          </w:p>
        </w:tc>
        <w:tc>
          <w:tcPr>
            <w:tcW w:w="306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科目名称</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合计</w:t>
            </w:r>
          </w:p>
        </w:tc>
        <w:tc>
          <w:tcPr>
            <w:tcW w:w="5379"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基本支出</w:t>
            </w:r>
          </w:p>
        </w:tc>
        <w:tc>
          <w:tcPr>
            <w:tcW w:w="1621"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项目支出</w:t>
            </w:r>
          </w:p>
        </w:tc>
      </w:tr>
      <w:tr>
        <w:tblPrEx>
          <w:tblCellMar>
            <w:top w:w="0" w:type="dxa"/>
            <w:left w:w="0" w:type="dxa"/>
            <w:bottom w:w="0" w:type="dxa"/>
            <w:right w:w="0" w:type="dxa"/>
          </w:tblCellMar>
        </w:tblPrEx>
        <w:trPr>
          <w:trHeight w:val="499" w:hRule="atLeast"/>
          <w:tblHeader/>
        </w:trPr>
        <w:tc>
          <w:tcPr>
            <w:tcW w:w="9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类</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款</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w:t>
            </w:r>
          </w:p>
        </w:tc>
        <w:tc>
          <w:tcPr>
            <w:tcW w:w="306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小计</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人员支出</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日常公用支出</w:t>
            </w:r>
          </w:p>
        </w:tc>
        <w:tc>
          <w:tcPr>
            <w:tcW w:w="1621"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312" w:hRule="atLeast"/>
          <w:tblHeader/>
        </w:trPr>
        <w:tc>
          <w:tcPr>
            <w:tcW w:w="9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306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21"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499" w:hRule="atLeast"/>
        </w:trPr>
        <w:tc>
          <w:tcPr>
            <w:tcW w:w="593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highlight w:val="none"/>
              </w:rPr>
            </w:pPr>
            <w:r>
              <w:rPr>
                <w:rFonts w:hint="eastAsia" w:ascii="仿宋_GB2312" w:hAnsi="宋体" w:eastAsia="仿宋_GB2312" w:cs="宋体"/>
                <w:color w:val="000000"/>
                <w:kern w:val="0"/>
                <w:sz w:val="18"/>
                <w:szCs w:val="18"/>
                <w:highlight w:val="none"/>
                <w:lang w:bidi="ar"/>
              </w:rPr>
              <w:t>合    计</w:t>
            </w:r>
          </w:p>
        </w:tc>
        <w:tc>
          <w:tcPr>
            <w:tcW w:w="167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bl>
    <w:p>
      <w:pPr>
        <w:jc w:val="left"/>
        <w:rPr>
          <w:rFonts w:ascii="仿宋_GB2312" w:eastAsia="仿宋_GB2312"/>
          <w:b/>
          <w:szCs w:val="21"/>
          <w:highlight w:val="none"/>
        </w:rPr>
      </w:pPr>
      <w:r>
        <w:rPr>
          <w:rFonts w:hint="eastAsia" w:ascii="仿宋_GB2312" w:eastAsia="仿宋_GB2312"/>
          <w:b/>
          <w:szCs w:val="21"/>
          <w:highlight w:val="none"/>
        </w:rPr>
        <w:t>（注：</w:t>
      </w:r>
      <w:r>
        <w:rPr>
          <w:rFonts w:hint="eastAsia" w:ascii="仿宋_GB2312" w:eastAsia="仿宋_GB2312"/>
          <w:b/>
          <w:szCs w:val="21"/>
          <w:highlight w:val="none"/>
          <w:lang w:eastAsia="zh-CN"/>
        </w:rPr>
        <w:t>2023</w:t>
      </w:r>
      <w:r>
        <w:rPr>
          <w:rFonts w:hint="eastAsia" w:ascii="仿宋_GB2312" w:eastAsia="仿宋_GB2312"/>
          <w:b/>
          <w:szCs w:val="21"/>
          <w:highlight w:val="none"/>
        </w:rPr>
        <w:t>年没有使用政府性基金预算拨款安排的支出。）</w:t>
      </w:r>
    </w:p>
    <w:p>
      <w:pPr>
        <w:widowControl/>
        <w:jc w:val="left"/>
        <w:rPr>
          <w:rFonts w:ascii="楷体_GB2312" w:eastAsia="楷体_GB2312"/>
          <w:sz w:val="32"/>
          <w:szCs w:val="32"/>
          <w:highlight w:val="none"/>
        </w:rPr>
      </w:pPr>
      <w:r>
        <w:rPr>
          <w:rFonts w:ascii="楷体_GB2312" w:eastAsia="楷体_GB2312"/>
          <w:sz w:val="32"/>
          <w:szCs w:val="32"/>
          <w:highlight w:val="none"/>
        </w:rPr>
        <w:br w:type="page"/>
      </w:r>
    </w:p>
    <w:tbl>
      <w:tblPr>
        <w:tblStyle w:val="8"/>
        <w:tblW w:w="14600" w:type="dxa"/>
        <w:tblInd w:w="0" w:type="dxa"/>
        <w:tblLayout w:type="fixed"/>
        <w:tblCellMar>
          <w:top w:w="0" w:type="dxa"/>
          <w:left w:w="0" w:type="dxa"/>
          <w:bottom w:w="0" w:type="dxa"/>
          <w:right w:w="0" w:type="dxa"/>
        </w:tblCellMar>
      </w:tblPr>
      <w:tblGrid>
        <w:gridCol w:w="954"/>
        <w:gridCol w:w="955"/>
        <w:gridCol w:w="958"/>
        <w:gridCol w:w="3060"/>
        <w:gridCol w:w="1670"/>
        <w:gridCol w:w="1793"/>
        <w:gridCol w:w="1793"/>
        <w:gridCol w:w="1793"/>
        <w:gridCol w:w="1624"/>
      </w:tblGrid>
      <w:tr>
        <w:tblPrEx>
          <w:tblCellMar>
            <w:top w:w="0" w:type="dxa"/>
            <w:left w:w="0" w:type="dxa"/>
            <w:bottom w:w="0" w:type="dxa"/>
            <w:right w:w="0" w:type="dxa"/>
          </w:tblCellMar>
        </w:tblPrEx>
        <w:trPr>
          <w:trHeight w:val="450" w:hRule="atLeast"/>
          <w:tblHeader/>
        </w:trPr>
        <w:tc>
          <w:tcPr>
            <w:tcW w:w="1460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黑体" w:hAnsi="黑体" w:eastAsia="黑体"/>
                <w:bCs/>
                <w:szCs w:val="21"/>
                <w:highlight w:val="none"/>
                <w:lang w:eastAsia="zh-CN"/>
              </w:rPr>
            </w:pPr>
            <w:r>
              <w:rPr>
                <w:rFonts w:hint="eastAsia" w:ascii="黑体" w:hAnsi="黑体" w:eastAsia="黑体"/>
                <w:bCs/>
                <w:szCs w:val="21"/>
                <w:highlight w:val="none"/>
              </w:rPr>
              <w:t>公开表</w:t>
            </w:r>
            <w:r>
              <w:rPr>
                <w:rFonts w:hint="eastAsia" w:ascii="黑体" w:hAnsi="黑体" w:eastAsia="黑体"/>
                <w:bCs/>
                <w:szCs w:val="21"/>
                <w:highlight w:val="none"/>
                <w:lang w:val="en-US" w:eastAsia="zh-CN"/>
              </w:rPr>
              <w:t>9</w:t>
            </w:r>
          </w:p>
          <w:p>
            <w:pPr>
              <w:jc w:val="center"/>
              <w:rPr>
                <w:rFonts w:ascii="黑体" w:hAnsi="黑体" w:eastAsia="黑体"/>
                <w:bCs/>
                <w:sz w:val="28"/>
                <w:szCs w:val="28"/>
                <w:highlight w:val="none"/>
              </w:rPr>
            </w:pPr>
            <w:r>
              <w:rPr>
                <w:rFonts w:hint="eastAsia" w:ascii="黑体" w:hAnsi="黑体" w:eastAsia="黑体"/>
                <w:bCs/>
                <w:sz w:val="28"/>
                <w:szCs w:val="28"/>
                <w:highlight w:val="none"/>
              </w:rPr>
              <w:t>国有资本经营预算支出情况表</w:t>
            </w:r>
          </w:p>
          <w:p>
            <w:pPr>
              <w:widowControl/>
              <w:jc w:val="right"/>
              <w:textAlignment w:val="center"/>
              <w:rPr>
                <w:rFonts w:ascii="宋体" w:hAnsi="宋体" w:cs="宋体"/>
                <w:color w:val="000000"/>
                <w:sz w:val="20"/>
                <w:szCs w:val="20"/>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584" w:hRule="atLeast"/>
          <w:tblHeader/>
        </w:trPr>
        <w:tc>
          <w:tcPr>
            <w:tcW w:w="2867"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科目编码</w:t>
            </w:r>
          </w:p>
        </w:tc>
        <w:tc>
          <w:tcPr>
            <w:tcW w:w="306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科目名称</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合计</w:t>
            </w:r>
          </w:p>
        </w:tc>
        <w:tc>
          <w:tcPr>
            <w:tcW w:w="5379"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基本支出</w:t>
            </w:r>
          </w:p>
        </w:tc>
        <w:tc>
          <w:tcPr>
            <w:tcW w:w="1624"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项目支出</w:t>
            </w:r>
          </w:p>
        </w:tc>
      </w:tr>
      <w:tr>
        <w:tblPrEx>
          <w:tblCellMar>
            <w:top w:w="0" w:type="dxa"/>
            <w:left w:w="0" w:type="dxa"/>
            <w:bottom w:w="0" w:type="dxa"/>
            <w:right w:w="0" w:type="dxa"/>
          </w:tblCellMar>
        </w:tblPrEx>
        <w:trPr>
          <w:trHeight w:val="499" w:hRule="atLeast"/>
          <w:tblHeader/>
        </w:trPr>
        <w:tc>
          <w:tcPr>
            <w:tcW w:w="9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类</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款</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项</w:t>
            </w: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小计</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人员支出</w:t>
            </w:r>
          </w:p>
        </w:tc>
        <w:tc>
          <w:tcPr>
            <w:tcW w:w="179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highlight w:val="none"/>
              </w:rPr>
            </w:pPr>
            <w:r>
              <w:rPr>
                <w:rFonts w:hint="eastAsia" w:ascii="黑体" w:hAnsi="黑体" w:eastAsia="黑体" w:cs="宋体"/>
                <w:color w:val="000000"/>
                <w:kern w:val="0"/>
                <w:sz w:val="18"/>
                <w:szCs w:val="18"/>
                <w:highlight w:val="none"/>
                <w:lang w:bidi="ar"/>
              </w:rPr>
              <w:t>日常公用支出</w:t>
            </w: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312" w:hRule="atLeast"/>
          <w:tblHeader/>
        </w:trPr>
        <w:tc>
          <w:tcPr>
            <w:tcW w:w="9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306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79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highlight w:val="none"/>
              </w:rPr>
            </w:pPr>
          </w:p>
        </w:tc>
        <w:tc>
          <w:tcPr>
            <w:tcW w:w="1624"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highlight w:val="none"/>
              </w:rPr>
            </w:pPr>
          </w:p>
        </w:tc>
      </w:tr>
      <w:tr>
        <w:tblPrEx>
          <w:tblCellMar>
            <w:top w:w="0" w:type="dxa"/>
            <w:left w:w="0" w:type="dxa"/>
            <w:bottom w:w="0" w:type="dxa"/>
            <w:right w:w="0" w:type="dxa"/>
          </w:tblCellMar>
        </w:tblPrEx>
        <w:trPr>
          <w:trHeight w:val="499" w:hRule="atLeast"/>
        </w:trPr>
        <w:tc>
          <w:tcPr>
            <w:tcW w:w="592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highlight w:val="none"/>
              </w:rPr>
            </w:pPr>
            <w:r>
              <w:rPr>
                <w:rFonts w:hint="eastAsia" w:ascii="仿宋_GB2312" w:hAnsi="宋体" w:eastAsia="仿宋_GB2312" w:cs="宋体"/>
                <w:color w:val="000000"/>
                <w:kern w:val="0"/>
                <w:sz w:val="18"/>
                <w:szCs w:val="18"/>
                <w:highlight w:val="none"/>
                <w:lang w:bidi="ar"/>
              </w:rPr>
              <w:t>合    计</w:t>
            </w:r>
          </w:p>
        </w:tc>
        <w:tc>
          <w:tcPr>
            <w:tcW w:w="1670"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r>
        <w:tblPrEx>
          <w:tblCellMar>
            <w:top w:w="0" w:type="dxa"/>
            <w:left w:w="0" w:type="dxa"/>
            <w:bottom w:w="0" w:type="dxa"/>
            <w:right w:w="0" w:type="dxa"/>
          </w:tblCellMar>
        </w:tblPrEx>
        <w:trPr>
          <w:trHeight w:val="499" w:hRule="atLeast"/>
        </w:trPr>
        <w:tc>
          <w:tcPr>
            <w:tcW w:w="9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30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highlight w:val="none"/>
              </w:rPr>
            </w:pPr>
          </w:p>
        </w:tc>
        <w:tc>
          <w:tcPr>
            <w:tcW w:w="1670"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7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c>
          <w:tcPr>
            <w:tcW w:w="16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highlight w:val="none"/>
              </w:rPr>
            </w:pPr>
          </w:p>
        </w:tc>
      </w:tr>
    </w:tbl>
    <w:p>
      <w:pPr>
        <w:jc w:val="left"/>
        <w:rPr>
          <w:rFonts w:ascii="仿宋_GB2312" w:eastAsia="仿宋_GB2312"/>
          <w:b/>
          <w:szCs w:val="21"/>
          <w:highlight w:val="none"/>
        </w:rPr>
      </w:pPr>
      <w:r>
        <w:rPr>
          <w:rFonts w:hint="eastAsia" w:ascii="仿宋_GB2312" w:eastAsia="仿宋_GB2312"/>
          <w:b/>
          <w:szCs w:val="21"/>
          <w:highlight w:val="none"/>
        </w:rPr>
        <w:t>（注：</w:t>
      </w:r>
      <w:r>
        <w:rPr>
          <w:rFonts w:hint="eastAsia" w:ascii="仿宋_GB2312" w:eastAsia="仿宋_GB2312"/>
          <w:b/>
          <w:szCs w:val="21"/>
          <w:highlight w:val="none"/>
          <w:lang w:eastAsia="zh-CN"/>
        </w:rPr>
        <w:t>2023</w:t>
      </w:r>
      <w:r>
        <w:rPr>
          <w:rFonts w:hint="eastAsia" w:ascii="仿宋_GB2312" w:eastAsia="仿宋_GB2312"/>
          <w:b/>
          <w:szCs w:val="21"/>
          <w:highlight w:val="none"/>
        </w:rPr>
        <w:t>年没有使用国有资本经营预算拨款安排的支出。）</w:t>
      </w:r>
    </w:p>
    <w:p>
      <w:pPr>
        <w:widowControl/>
        <w:jc w:val="left"/>
        <w:rPr>
          <w:rFonts w:ascii="楷体_GB2312" w:eastAsia="楷体_GB2312"/>
          <w:sz w:val="32"/>
          <w:szCs w:val="32"/>
          <w:highlight w:val="none"/>
        </w:rPr>
      </w:pPr>
      <w:r>
        <w:rPr>
          <w:rFonts w:ascii="楷体_GB2312" w:eastAsia="楷体_GB2312"/>
          <w:sz w:val="32"/>
          <w:szCs w:val="32"/>
          <w:highlight w:val="none"/>
        </w:rPr>
        <w:br w:type="page"/>
      </w:r>
    </w:p>
    <w:tbl>
      <w:tblPr>
        <w:tblStyle w:val="8"/>
        <w:tblW w:w="14594" w:type="dxa"/>
        <w:tblInd w:w="0" w:type="dxa"/>
        <w:tblLayout w:type="fixed"/>
        <w:tblCellMar>
          <w:top w:w="0" w:type="dxa"/>
          <w:left w:w="0" w:type="dxa"/>
          <w:bottom w:w="0" w:type="dxa"/>
          <w:right w:w="0" w:type="dxa"/>
        </w:tblCellMar>
      </w:tblPr>
      <w:tblGrid>
        <w:gridCol w:w="1014"/>
        <w:gridCol w:w="1014"/>
        <w:gridCol w:w="1014"/>
        <w:gridCol w:w="1014"/>
        <w:gridCol w:w="1014"/>
        <w:gridCol w:w="1014"/>
        <w:gridCol w:w="945"/>
        <w:gridCol w:w="945"/>
        <w:gridCol w:w="945"/>
        <w:gridCol w:w="945"/>
        <w:gridCol w:w="946"/>
        <w:gridCol w:w="946"/>
        <w:gridCol w:w="946"/>
        <w:gridCol w:w="946"/>
        <w:gridCol w:w="946"/>
      </w:tblGrid>
      <w:tr>
        <w:tblPrEx>
          <w:tblCellMar>
            <w:top w:w="0" w:type="dxa"/>
            <w:left w:w="0" w:type="dxa"/>
            <w:bottom w:w="0" w:type="dxa"/>
            <w:right w:w="0" w:type="dxa"/>
          </w:tblCellMar>
        </w:tblPrEx>
        <w:trPr>
          <w:trHeight w:val="340" w:hRule="atLeast"/>
        </w:trPr>
        <w:tc>
          <w:tcPr>
            <w:tcW w:w="3042" w:type="dxa"/>
            <w:gridSpan w:val="3"/>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eastAsia" w:ascii="黑体" w:hAnsi="黑体" w:eastAsia="黑体"/>
                <w:bCs/>
                <w:szCs w:val="21"/>
                <w:highlight w:val="none"/>
              </w:rPr>
            </w:pPr>
          </w:p>
        </w:tc>
        <w:tc>
          <w:tcPr>
            <w:tcW w:w="1014" w:type="dxa"/>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eastAsia" w:ascii="黑体" w:hAnsi="黑体" w:eastAsia="黑体"/>
                <w:bCs/>
                <w:szCs w:val="21"/>
                <w:highlight w:val="none"/>
              </w:rPr>
            </w:pPr>
          </w:p>
        </w:tc>
        <w:tc>
          <w:tcPr>
            <w:tcW w:w="1014" w:type="dxa"/>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eastAsia" w:ascii="黑体" w:hAnsi="黑体" w:eastAsia="黑体"/>
                <w:bCs/>
                <w:szCs w:val="21"/>
                <w:highlight w:val="none"/>
              </w:rPr>
            </w:pPr>
          </w:p>
        </w:tc>
        <w:tc>
          <w:tcPr>
            <w:tcW w:w="9524" w:type="dxa"/>
            <w:gridSpan w:val="10"/>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hint="default" w:ascii="黑体" w:hAnsi="黑体" w:eastAsia="黑体"/>
                <w:bCs/>
                <w:szCs w:val="21"/>
                <w:highlight w:val="none"/>
                <w:lang w:val="en-US" w:eastAsia="zh-CN"/>
              </w:rPr>
            </w:pPr>
            <w:r>
              <w:rPr>
                <w:rFonts w:hint="eastAsia" w:ascii="黑体" w:hAnsi="黑体" w:eastAsia="黑体"/>
                <w:bCs/>
                <w:szCs w:val="21"/>
                <w:highlight w:val="none"/>
              </w:rPr>
              <w:t>公开表</w:t>
            </w:r>
            <w:r>
              <w:rPr>
                <w:rFonts w:hint="eastAsia" w:ascii="黑体" w:hAnsi="黑体" w:eastAsia="黑体"/>
                <w:bCs/>
                <w:szCs w:val="21"/>
                <w:highlight w:val="none"/>
                <w:lang w:val="en-US" w:eastAsia="zh-CN"/>
              </w:rPr>
              <w:t>10</w:t>
            </w:r>
          </w:p>
        </w:tc>
      </w:tr>
      <w:tr>
        <w:tblPrEx>
          <w:tblCellMar>
            <w:top w:w="0" w:type="dxa"/>
            <w:left w:w="0" w:type="dxa"/>
            <w:bottom w:w="0" w:type="dxa"/>
            <w:right w:w="0" w:type="dxa"/>
          </w:tblCellMar>
        </w:tblPrEx>
        <w:trPr>
          <w:trHeight w:val="645" w:hRule="atLeast"/>
        </w:trPr>
        <w:tc>
          <w:tcPr>
            <w:tcW w:w="14594" w:type="dxa"/>
            <w:gridSpan w:val="15"/>
            <w:tcBorders>
              <w:top w:val="nil"/>
              <w:left w:val="nil"/>
              <w:bottom w:val="nil"/>
              <w:right w:val="nil"/>
            </w:tcBorders>
            <w:shd w:val="clear" w:color="auto" w:fill="FFFFFF"/>
            <w:noWrap/>
            <w:tcMar>
              <w:top w:w="15" w:type="dxa"/>
              <w:left w:w="15" w:type="dxa"/>
              <w:bottom w:w="0" w:type="dxa"/>
              <w:right w:w="15" w:type="dxa"/>
            </w:tcMar>
            <w:vAlign w:val="center"/>
          </w:tcPr>
          <w:p>
            <w:pPr>
              <w:widowControl/>
              <w:jc w:val="center"/>
              <w:textAlignment w:val="center"/>
              <w:rPr>
                <w:rFonts w:cs="Arial"/>
                <w:b/>
                <w:bCs/>
                <w:color w:val="000000"/>
                <w:sz w:val="36"/>
                <w:szCs w:val="36"/>
                <w:highlight w:val="none"/>
              </w:rPr>
            </w:pPr>
            <w:r>
              <w:rPr>
                <w:rFonts w:hint="eastAsia" w:ascii="黑体" w:hAnsi="黑体" w:eastAsia="黑体"/>
                <w:bCs/>
                <w:sz w:val="28"/>
                <w:szCs w:val="28"/>
                <w:highlight w:val="none"/>
              </w:rPr>
              <w:t>基本支出预算情况表</w:t>
            </w:r>
          </w:p>
        </w:tc>
      </w:tr>
      <w:tr>
        <w:tblPrEx>
          <w:tblCellMar>
            <w:top w:w="0" w:type="dxa"/>
            <w:left w:w="0" w:type="dxa"/>
            <w:bottom w:w="0" w:type="dxa"/>
            <w:right w:w="0" w:type="dxa"/>
          </w:tblCellMar>
        </w:tblPrEx>
        <w:trPr>
          <w:trHeight w:val="420" w:hRule="atLeast"/>
        </w:trPr>
        <w:tc>
          <w:tcPr>
            <w:tcW w:w="3042" w:type="dxa"/>
            <w:gridSpan w:val="3"/>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hint="eastAsia" w:ascii="仿宋_GB2312" w:hAnsi="宋体" w:eastAsia="仿宋_GB2312" w:cs="宋体"/>
                <w:kern w:val="0"/>
                <w:szCs w:val="21"/>
                <w:highlight w:val="none"/>
              </w:rPr>
            </w:pPr>
          </w:p>
        </w:tc>
        <w:tc>
          <w:tcPr>
            <w:tcW w:w="1014" w:type="dxa"/>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hint="eastAsia" w:ascii="仿宋_GB2312" w:hAnsi="宋体" w:eastAsia="仿宋_GB2312" w:cs="宋体"/>
                <w:kern w:val="0"/>
                <w:szCs w:val="21"/>
                <w:highlight w:val="none"/>
              </w:rPr>
            </w:pPr>
          </w:p>
        </w:tc>
        <w:tc>
          <w:tcPr>
            <w:tcW w:w="1014" w:type="dxa"/>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hint="eastAsia" w:ascii="仿宋_GB2312" w:hAnsi="宋体" w:eastAsia="仿宋_GB2312" w:cs="宋体"/>
                <w:kern w:val="0"/>
                <w:szCs w:val="21"/>
                <w:highlight w:val="none"/>
              </w:rPr>
            </w:pPr>
          </w:p>
        </w:tc>
        <w:tc>
          <w:tcPr>
            <w:tcW w:w="9524" w:type="dxa"/>
            <w:gridSpan w:val="10"/>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420" w:hRule="atLeast"/>
        </w:trPr>
        <w:tc>
          <w:tcPr>
            <w:tcW w:w="2028" w:type="dxa"/>
            <w:gridSpan w:val="2"/>
            <w:vMerge w:val="restart"/>
            <w:tcBorders>
              <w:top w:val="single" w:color="000000" w:sz="4" w:space="0"/>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科目编码</w:t>
            </w:r>
          </w:p>
        </w:tc>
        <w:tc>
          <w:tcPr>
            <w:tcW w:w="1014" w:type="dxa"/>
            <w:vMerge w:val="restart"/>
            <w:tcBorders>
              <w:top w:val="single" w:color="000000" w:sz="4" w:space="0"/>
              <w:left w:val="single" w:color="000000" w:sz="4" w:space="0"/>
              <w:right w:val="single" w:color="000000" w:sz="4" w:space="0"/>
            </w:tcBorders>
            <w:shd w:val="clear" w:color="auto" w:fill="FFFFFF"/>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部门预算</w:t>
            </w:r>
          </w:p>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支出经济</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分类科目</w:t>
            </w:r>
          </w:p>
        </w:tc>
        <w:tc>
          <w:tcPr>
            <w:tcW w:w="2028" w:type="dxa"/>
            <w:gridSpan w:val="2"/>
            <w:vMerge w:val="restart"/>
            <w:tcBorders>
              <w:top w:val="single" w:color="000000" w:sz="4" w:space="0"/>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kern w:val="2"/>
                <w:sz w:val="18"/>
                <w:szCs w:val="18"/>
                <w:highlight w:val="none"/>
                <w:lang w:val="en-US" w:eastAsia="zh-CN" w:bidi="ar-SA"/>
              </w:rPr>
            </w:pPr>
            <w:r>
              <w:rPr>
                <w:rFonts w:hint="eastAsia" w:ascii="黑体" w:hAnsi="黑体" w:eastAsia="黑体" w:cs="Arial"/>
                <w:color w:val="000000"/>
                <w:sz w:val="18"/>
                <w:szCs w:val="18"/>
                <w:highlight w:val="none"/>
              </w:rPr>
              <w:t>科目编码</w:t>
            </w:r>
          </w:p>
          <w:p>
            <w:pPr>
              <w:jc w:val="center"/>
              <w:rPr>
                <w:rFonts w:hint="eastAsia" w:ascii="黑体" w:hAnsi="黑体" w:eastAsia="黑体" w:cs="Arial"/>
                <w:color w:val="000000"/>
                <w:sz w:val="18"/>
                <w:szCs w:val="18"/>
                <w:highlight w:val="none"/>
              </w:rPr>
            </w:pPr>
          </w:p>
        </w:tc>
        <w:tc>
          <w:tcPr>
            <w:tcW w:w="1014" w:type="dxa"/>
            <w:vMerge w:val="restart"/>
            <w:tcBorders>
              <w:top w:val="single" w:color="000000" w:sz="4" w:space="0"/>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lang w:val="en-US" w:eastAsia="zh-CN"/>
              </w:rPr>
              <w:t>政府</w:t>
            </w:r>
            <w:r>
              <w:rPr>
                <w:rFonts w:hint="eastAsia" w:ascii="黑体" w:hAnsi="黑体" w:eastAsia="黑体" w:cs="Arial"/>
                <w:color w:val="000000"/>
                <w:sz w:val="18"/>
                <w:szCs w:val="18"/>
                <w:highlight w:val="none"/>
              </w:rPr>
              <w:t>预算</w:t>
            </w:r>
          </w:p>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支出经济</w:t>
            </w:r>
          </w:p>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分类科目</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合计</w:t>
            </w:r>
          </w:p>
        </w:tc>
        <w:tc>
          <w:tcPr>
            <w:tcW w:w="3781"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财政拨款</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财政专户</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管理资金</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单位资金</w:t>
            </w:r>
          </w:p>
        </w:tc>
        <w:tc>
          <w:tcPr>
            <w:tcW w:w="946"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使用非财政拨款结余</w:t>
            </w:r>
          </w:p>
        </w:tc>
        <w:tc>
          <w:tcPr>
            <w:tcW w:w="946" w:type="dxa"/>
            <w:vMerge w:val="restart"/>
            <w:tcBorders>
              <w:top w:val="single" w:color="000000" w:sz="4" w:space="0"/>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上年结转</w:t>
            </w:r>
          </w:p>
        </w:tc>
      </w:tr>
      <w:tr>
        <w:tblPrEx>
          <w:tblCellMar>
            <w:top w:w="0" w:type="dxa"/>
            <w:left w:w="0" w:type="dxa"/>
            <w:bottom w:w="0" w:type="dxa"/>
            <w:right w:w="0" w:type="dxa"/>
          </w:tblCellMar>
        </w:tblPrEx>
        <w:trPr>
          <w:trHeight w:val="312" w:hRule="atLeast"/>
        </w:trPr>
        <w:tc>
          <w:tcPr>
            <w:tcW w:w="2028" w:type="dxa"/>
            <w:gridSpan w:val="2"/>
            <w:vMerge w:val="continue"/>
            <w:tcBorders>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p>
        </w:tc>
        <w:tc>
          <w:tcPr>
            <w:tcW w:w="1014" w:type="dxa"/>
            <w:vMerge w:val="continue"/>
            <w:tcBorders>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p>
        </w:tc>
        <w:tc>
          <w:tcPr>
            <w:tcW w:w="2028" w:type="dxa"/>
            <w:gridSpan w:val="2"/>
            <w:vMerge w:val="continue"/>
            <w:tcBorders>
              <w:left w:val="single" w:color="000000" w:sz="4" w:space="0"/>
              <w:bottom w:val="single" w:color="000000" w:sz="4" w:space="0"/>
              <w:right w:val="single" w:color="000000" w:sz="4" w:space="0"/>
            </w:tcBorders>
            <w:vAlign w:val="center"/>
          </w:tcPr>
          <w:p>
            <w:pPr>
              <w:jc w:val="center"/>
              <w:rPr>
                <w:rFonts w:ascii="黑体" w:hAnsi="黑体" w:eastAsia="黑体" w:cs="Arial"/>
                <w:color w:val="000000"/>
                <w:kern w:val="2"/>
                <w:sz w:val="18"/>
                <w:szCs w:val="18"/>
                <w:highlight w:val="none"/>
                <w:lang w:val="en-US" w:eastAsia="zh-CN" w:bidi="ar-SA"/>
              </w:rPr>
            </w:pPr>
          </w:p>
        </w:tc>
        <w:tc>
          <w:tcPr>
            <w:tcW w:w="1014" w:type="dxa"/>
            <w:vMerge w:val="continue"/>
            <w:tcBorders>
              <w:left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小计</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一般公共</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预算</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政府性</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基金预算</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hint="eastAsia" w:ascii="黑体" w:hAnsi="黑体" w:eastAsia="黑体" w:cs="Arial"/>
                <w:color w:val="000000"/>
                <w:sz w:val="18"/>
                <w:szCs w:val="18"/>
                <w:highlight w:val="none"/>
              </w:rPr>
            </w:pPr>
            <w:r>
              <w:rPr>
                <w:rFonts w:hint="eastAsia" w:ascii="黑体" w:hAnsi="黑体" w:eastAsia="黑体" w:cs="Arial"/>
                <w:color w:val="000000"/>
                <w:sz w:val="18"/>
                <w:szCs w:val="18"/>
                <w:highlight w:val="none"/>
              </w:rPr>
              <w:t>国有资本</w:t>
            </w:r>
          </w:p>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经营预算</w:t>
            </w: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left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p>
        </w:tc>
      </w:tr>
      <w:tr>
        <w:tblPrEx>
          <w:tblCellMar>
            <w:top w:w="0" w:type="dxa"/>
            <w:left w:w="0" w:type="dxa"/>
            <w:bottom w:w="0" w:type="dxa"/>
            <w:right w:w="0" w:type="dxa"/>
          </w:tblCellMar>
        </w:tblPrEx>
        <w:trPr>
          <w:trHeight w:val="610" w:hRule="atLeast"/>
        </w:trPr>
        <w:tc>
          <w:tcPr>
            <w:tcW w:w="1014"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类</w:t>
            </w:r>
          </w:p>
        </w:tc>
        <w:tc>
          <w:tcPr>
            <w:tcW w:w="1014"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款</w:t>
            </w:r>
          </w:p>
        </w:tc>
        <w:tc>
          <w:tcPr>
            <w:tcW w:w="1014" w:type="dxa"/>
            <w:vMerge w:val="continue"/>
            <w:tcBorders>
              <w:left w:val="single" w:color="000000" w:sz="4" w:space="0"/>
              <w:bottom w:val="single" w:color="000000" w:sz="4" w:space="0"/>
              <w:right w:val="single" w:color="000000" w:sz="4" w:space="0"/>
            </w:tcBorders>
            <w:vAlign w:val="center"/>
          </w:tcPr>
          <w:p>
            <w:pPr>
              <w:jc w:val="center"/>
              <w:rPr>
                <w:rFonts w:ascii="黑体" w:hAnsi="黑体" w:eastAsia="黑体" w:cs="Arial"/>
                <w:color w:val="000000"/>
                <w:kern w:val="2"/>
                <w:sz w:val="18"/>
                <w:szCs w:val="18"/>
                <w:highlight w:val="none"/>
                <w:lang w:val="en-US" w:eastAsia="zh-CN" w:bidi="ar-SA"/>
              </w:rPr>
            </w:pPr>
            <w:r>
              <w:rPr>
                <w:rFonts w:hint="eastAsia" w:ascii="黑体" w:hAnsi="黑体" w:eastAsia="黑体" w:cs="Arial"/>
                <w:color w:val="000000"/>
                <w:sz w:val="18"/>
                <w:szCs w:val="18"/>
                <w:highlight w:val="none"/>
              </w:rPr>
              <w:t>类</w:t>
            </w:r>
          </w:p>
        </w:tc>
        <w:tc>
          <w:tcPr>
            <w:tcW w:w="1014"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hAnsi="黑体" w:eastAsia="黑体" w:cs="Arial"/>
                <w:color w:val="000000"/>
                <w:kern w:val="2"/>
                <w:sz w:val="18"/>
                <w:szCs w:val="18"/>
                <w:highlight w:val="none"/>
                <w:lang w:val="en-US" w:eastAsia="zh-CN" w:bidi="ar-SA"/>
              </w:rPr>
            </w:pPr>
            <w:r>
              <w:rPr>
                <w:rFonts w:hint="eastAsia" w:ascii="黑体" w:hAnsi="黑体" w:eastAsia="黑体" w:cs="Arial"/>
                <w:color w:val="000000"/>
                <w:sz w:val="18"/>
                <w:szCs w:val="18"/>
                <w:highlight w:val="none"/>
              </w:rPr>
              <w:t>类</w:t>
            </w:r>
          </w:p>
        </w:tc>
        <w:tc>
          <w:tcPr>
            <w:tcW w:w="1014"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hAnsi="黑体" w:eastAsia="黑体" w:cs="Arial"/>
                <w:color w:val="000000"/>
                <w:sz w:val="18"/>
                <w:szCs w:val="18"/>
                <w:highlight w:val="none"/>
              </w:rPr>
            </w:pPr>
            <w:r>
              <w:rPr>
                <w:rFonts w:hint="eastAsia" w:ascii="黑体" w:hAnsi="黑体" w:eastAsia="黑体" w:cs="Arial"/>
                <w:color w:val="000000"/>
                <w:sz w:val="18"/>
                <w:szCs w:val="18"/>
                <w:highlight w:val="none"/>
              </w:rPr>
              <w:t>款</w:t>
            </w:r>
          </w:p>
        </w:tc>
        <w:tc>
          <w:tcPr>
            <w:tcW w:w="1014" w:type="dxa"/>
            <w:vMerge w:val="continue"/>
            <w:tcBorders>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highlight w:val="none"/>
              </w:rPr>
            </w:pPr>
          </w:p>
        </w:tc>
        <w:tc>
          <w:tcPr>
            <w:tcW w:w="946" w:type="dxa"/>
            <w:vMerge w:val="continue"/>
            <w:tcBorders>
              <w:left w:val="single" w:color="000000" w:sz="4" w:space="0"/>
              <w:bottom w:val="single" w:color="000000" w:sz="4" w:space="0"/>
              <w:right w:val="single" w:color="000000" w:sz="4" w:space="0"/>
            </w:tcBorders>
            <w:vAlign w:val="center"/>
          </w:tcPr>
          <w:p>
            <w:pPr>
              <w:rPr>
                <w:rFonts w:ascii="黑体" w:hAnsi="黑体" w:eastAsia="黑体" w:cs="Arial"/>
                <w:color w:val="000000"/>
                <w:sz w:val="20"/>
                <w:szCs w:val="20"/>
                <w:highlight w:val="none"/>
              </w:rPr>
            </w:pPr>
          </w:p>
        </w:tc>
      </w:tr>
      <w:tr>
        <w:tblPrEx>
          <w:tblCellMar>
            <w:top w:w="0" w:type="dxa"/>
            <w:left w:w="0" w:type="dxa"/>
            <w:bottom w:w="0" w:type="dxa"/>
            <w:right w:w="0" w:type="dxa"/>
          </w:tblCellMar>
        </w:tblPrEx>
        <w:trPr>
          <w:trHeight w:val="480" w:hRule="atLeast"/>
        </w:trPr>
        <w:tc>
          <w:tcPr>
            <w:tcW w:w="304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eastAsia="仿宋_GB2312" w:cs="Arial"/>
                <w:color w:val="000000"/>
                <w:sz w:val="18"/>
                <w:szCs w:val="18"/>
                <w:highlight w:val="none"/>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highlight w:val="none"/>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highlight w:val="none"/>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ascii="仿宋_GB2312" w:eastAsia="仿宋_GB2312" w:cs="Arial"/>
                <w:color w:val="000000"/>
                <w:sz w:val="18"/>
                <w:szCs w:val="18"/>
                <w:highlight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default"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899.36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hint="default" w:ascii="仿宋_GB2312" w:eastAsia="仿宋_GB2312"/>
                <w:sz w:val="20"/>
                <w:szCs w:val="20"/>
                <w:highlight w:val="none"/>
                <w:lang w:val="en-US" w:eastAsia="zh-CN"/>
              </w:rPr>
            </w:pPr>
            <w:r>
              <w:rPr>
                <w:rFonts w:hint="eastAsia" w:ascii="仿宋_GB2312" w:eastAsia="仿宋_GB2312"/>
                <w:sz w:val="20"/>
                <w:szCs w:val="20"/>
                <w:highlight w:val="none"/>
                <w:lang w:val="en-US" w:eastAsia="zh-CN"/>
              </w:rPr>
              <w:t>899.36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hint="default" w:ascii="仿宋_GB2312" w:eastAsia="仿宋_GB2312"/>
                <w:sz w:val="20"/>
                <w:szCs w:val="20"/>
                <w:highlight w:val="none"/>
                <w:lang w:val="en-US" w:eastAsia="zh-CN"/>
              </w:rPr>
            </w:pPr>
            <w:r>
              <w:rPr>
                <w:rFonts w:hint="eastAsia" w:ascii="仿宋_GB2312" w:eastAsia="仿宋_GB2312"/>
                <w:sz w:val="20"/>
                <w:szCs w:val="20"/>
                <w:highlight w:val="none"/>
                <w:lang w:val="en-US" w:eastAsia="zh-CN"/>
              </w:rPr>
              <w:t>899.36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工资福利支出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机关工资福利支出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650.36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650.36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650.36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基本工资</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工资奖金津补贴</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153.87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153.87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153.87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津贴补贴</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工资奖金津补贴</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165.23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165.23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165.23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奖金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工资奖金津补贴</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159.69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159.69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159.69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08</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机关事业单位基本养老保险缴费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68.14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68.14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68.14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职工基本医疗保险缴费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34.92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34.92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34.92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公务员医疗补助缴费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8.59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8.59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8.59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其他社会保障缴费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社会保障缴费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1.66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1.66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1.66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住房公积金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住房公积金</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58.26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58.26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58.26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工资福利支出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对事业单位经常性补助</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130.77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130.77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130.77</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基本工资</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27.21</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27.21</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27.21</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津贴补贴</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11.12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11.12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11.12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奖金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30.16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30.16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30.16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07</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绩效工资</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27.33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27.33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27.33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08</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机关事业单位基本养老保险缴费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13.55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13.55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13.55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职工基本医疗保险缴费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6.94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6.94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6.94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公务员医疗补助缴费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1.74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1.74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1.74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其他社会保障缴费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1.24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1.24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1.24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住房公积金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工资福利支出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11.49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11.49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11.49</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商品和服务支出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机关商品和服务支出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103.82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103.82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103.82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27.50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27.50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27.50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印刷费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07</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邮电费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差旅费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9.90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9.90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9.90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维修（护）费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维修（护）费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会议费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会议费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16</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培训费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培训费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6.00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17</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公务接待费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06</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公务接待费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39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其他交通费用</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25.42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25.42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25.42</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99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其他商品和服务支出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99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其他商品和服务支出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17.00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17.00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17.00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商品和服务支出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对事业单位经常性补助</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12.35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12.35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12.35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办公费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商品和服务支出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4.70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4.70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4.70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11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差旅费</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商品和服务支出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39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其他交通费用</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商品和服务支出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1.15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1.15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1.15</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99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其他商品和服务支出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02</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商品和服务支出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3.50</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303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对个人和家庭的补助</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对个人和家庭的补助</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2.06</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05</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生活补助</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社会福利和救助</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2.03</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r>
        <w:tblPrEx>
          <w:tblCellMar>
            <w:top w:w="0" w:type="dxa"/>
            <w:left w:w="0" w:type="dxa"/>
            <w:bottom w:w="0" w:type="dxa"/>
            <w:right w:w="0" w:type="dxa"/>
          </w:tblCellMar>
        </w:tblPrEx>
        <w:trPr>
          <w:trHeight w:val="480" w:hRule="atLeast"/>
        </w:trPr>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303</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奖励金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509</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01</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社会福利和救助</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0.04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0.04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0.04</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right"/>
              <w:rPr>
                <w:rFonts w:ascii="仿宋_GB2312" w:eastAsia="仿宋_GB2312"/>
                <w:sz w:val="20"/>
                <w:szCs w:val="20"/>
                <w:highlight w:val="none"/>
              </w:rPr>
            </w:pPr>
          </w:p>
        </w:tc>
      </w:tr>
    </w:tbl>
    <w:p>
      <w:pPr>
        <w:widowControl/>
        <w:jc w:val="left"/>
        <w:rPr>
          <w:rFonts w:ascii="仿宋_GB2312" w:eastAsia="仿宋_GB2312"/>
          <w:b/>
          <w:sz w:val="30"/>
          <w:szCs w:val="30"/>
          <w:highlight w:val="none"/>
        </w:rPr>
      </w:pPr>
      <w:r>
        <w:rPr>
          <w:rFonts w:ascii="仿宋_GB2312" w:eastAsia="仿宋_GB2312"/>
          <w:b/>
          <w:sz w:val="30"/>
          <w:szCs w:val="30"/>
          <w:highlight w:val="none"/>
        </w:rPr>
        <w:t xml:space="preserve"> </w:t>
      </w:r>
      <w:r>
        <w:rPr>
          <w:rFonts w:ascii="仿宋_GB2312" w:eastAsia="仿宋_GB2312"/>
          <w:b/>
          <w:sz w:val="30"/>
          <w:szCs w:val="30"/>
          <w:highlight w:val="none"/>
        </w:rPr>
        <w:br w:type="page"/>
      </w:r>
    </w:p>
    <w:tbl>
      <w:tblPr>
        <w:tblStyle w:val="8"/>
        <w:tblW w:w="14590" w:type="dxa"/>
        <w:tblInd w:w="0" w:type="dxa"/>
        <w:tblLayout w:type="fixed"/>
        <w:tblCellMar>
          <w:top w:w="0" w:type="dxa"/>
          <w:left w:w="0" w:type="dxa"/>
          <w:bottom w:w="0" w:type="dxa"/>
          <w:right w:w="0" w:type="dxa"/>
        </w:tblCellMar>
      </w:tblPr>
      <w:tblGrid>
        <w:gridCol w:w="4639"/>
        <w:gridCol w:w="1561"/>
        <w:gridCol w:w="932"/>
        <w:gridCol w:w="932"/>
        <w:gridCol w:w="932"/>
        <w:gridCol w:w="932"/>
        <w:gridCol w:w="932"/>
        <w:gridCol w:w="932"/>
        <w:gridCol w:w="932"/>
        <w:gridCol w:w="933"/>
        <w:gridCol w:w="933"/>
      </w:tblGrid>
      <w:tr>
        <w:tblPrEx>
          <w:tblCellMar>
            <w:top w:w="0" w:type="dxa"/>
            <w:left w:w="0" w:type="dxa"/>
            <w:bottom w:w="0" w:type="dxa"/>
            <w:right w:w="0" w:type="dxa"/>
          </w:tblCellMar>
        </w:tblPrEx>
        <w:trPr>
          <w:trHeight w:val="340" w:hRule="atLeast"/>
          <w:tblHeader/>
        </w:trPr>
        <w:tc>
          <w:tcPr>
            <w:tcW w:w="14590" w:type="dxa"/>
            <w:gridSpan w:val="11"/>
            <w:tcBorders>
              <w:top w:val="nil"/>
              <w:left w:val="nil"/>
              <w:bottom w:val="nil"/>
              <w:right w:val="nil"/>
            </w:tcBorders>
            <w:shd w:val="clear" w:color="000000" w:fill="FFFFFF"/>
            <w:noWrap/>
            <w:tcMar>
              <w:top w:w="10" w:type="dxa"/>
              <w:left w:w="10" w:type="dxa"/>
              <w:right w:w="10" w:type="dxa"/>
            </w:tcMar>
            <w:vAlign w:val="center"/>
          </w:tcPr>
          <w:p>
            <w:pPr>
              <w:jc w:val="right"/>
              <w:rPr>
                <w:rFonts w:hint="default" w:ascii="宋体" w:hAnsi="宋体" w:eastAsia="黑体" w:cs="宋体"/>
                <w:color w:val="000000"/>
                <w:sz w:val="18"/>
                <w:szCs w:val="18"/>
                <w:highlight w:val="none"/>
                <w:lang w:val="en-US" w:eastAsia="zh-CN"/>
              </w:rPr>
            </w:pPr>
            <w:r>
              <w:rPr>
                <w:rFonts w:hint="eastAsia" w:ascii="黑体" w:hAnsi="黑体" w:eastAsia="黑体"/>
                <w:bCs/>
                <w:szCs w:val="21"/>
                <w:highlight w:val="none"/>
              </w:rPr>
              <w:t>公开表</w:t>
            </w:r>
            <w:r>
              <w:rPr>
                <w:rFonts w:hint="eastAsia" w:ascii="黑体" w:hAnsi="黑体" w:eastAsia="黑体"/>
                <w:bCs/>
                <w:szCs w:val="21"/>
                <w:highlight w:val="none"/>
                <w:lang w:val="en-US" w:eastAsia="zh-CN"/>
              </w:rPr>
              <w:t>11</w:t>
            </w:r>
          </w:p>
        </w:tc>
      </w:tr>
      <w:tr>
        <w:tblPrEx>
          <w:tblCellMar>
            <w:top w:w="0" w:type="dxa"/>
            <w:left w:w="0" w:type="dxa"/>
            <w:bottom w:w="0" w:type="dxa"/>
            <w:right w:w="0" w:type="dxa"/>
          </w:tblCellMar>
        </w:tblPrEx>
        <w:trPr>
          <w:trHeight w:val="645" w:hRule="atLeast"/>
          <w:tblHeader/>
        </w:trPr>
        <w:tc>
          <w:tcPr>
            <w:tcW w:w="14590" w:type="dxa"/>
            <w:gridSpan w:val="11"/>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highlight w:val="none"/>
              </w:rPr>
            </w:pPr>
            <w:r>
              <w:rPr>
                <w:rFonts w:hint="eastAsia" w:ascii="黑体" w:hAnsi="黑体" w:eastAsia="黑体"/>
                <w:bCs/>
                <w:sz w:val="28"/>
                <w:szCs w:val="28"/>
                <w:highlight w:val="none"/>
              </w:rPr>
              <w:t>项目支出预算</w:t>
            </w:r>
            <w:r>
              <w:rPr>
                <w:rFonts w:hint="eastAsia" w:ascii="黑体" w:hAnsi="黑体" w:eastAsia="黑体"/>
                <w:bCs/>
                <w:sz w:val="28"/>
                <w:szCs w:val="28"/>
                <w:highlight w:val="none"/>
                <w:lang w:val="en-US" w:eastAsia="zh-CN"/>
              </w:rPr>
              <w:t>情况</w:t>
            </w:r>
            <w:r>
              <w:rPr>
                <w:rFonts w:hint="eastAsia" w:ascii="黑体" w:hAnsi="黑体" w:eastAsia="黑体"/>
                <w:bCs/>
                <w:sz w:val="28"/>
                <w:szCs w:val="28"/>
                <w:highlight w:val="none"/>
              </w:rPr>
              <w:t>表</w:t>
            </w:r>
          </w:p>
        </w:tc>
      </w:tr>
      <w:tr>
        <w:tblPrEx>
          <w:tblCellMar>
            <w:top w:w="0" w:type="dxa"/>
            <w:left w:w="0" w:type="dxa"/>
            <w:bottom w:w="0" w:type="dxa"/>
            <w:right w:w="0" w:type="dxa"/>
          </w:tblCellMar>
        </w:tblPrEx>
        <w:trPr>
          <w:trHeight w:val="340" w:hRule="atLeast"/>
          <w:tblHeader/>
        </w:trPr>
        <w:tc>
          <w:tcPr>
            <w:tcW w:w="14590" w:type="dxa"/>
            <w:gridSpan w:val="11"/>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highlight w:val="none"/>
              </w:rPr>
            </w:pPr>
            <w:r>
              <w:rPr>
                <w:rFonts w:hint="eastAsia" w:ascii="仿宋_GB2312" w:hAnsi="宋体" w:eastAsia="仿宋_GB2312" w:cs="宋体"/>
                <w:kern w:val="0"/>
                <w:szCs w:val="21"/>
                <w:highlight w:val="none"/>
              </w:rPr>
              <w:t>单位：万元</w:t>
            </w:r>
          </w:p>
        </w:tc>
      </w:tr>
      <w:tr>
        <w:tblPrEx>
          <w:tblCellMar>
            <w:top w:w="0" w:type="dxa"/>
            <w:left w:w="0" w:type="dxa"/>
            <w:bottom w:w="0" w:type="dxa"/>
            <w:right w:w="0" w:type="dxa"/>
          </w:tblCellMar>
        </w:tblPrEx>
        <w:trPr>
          <w:trHeight w:val="340" w:hRule="atLeast"/>
          <w:tblHeader/>
        </w:trPr>
        <w:tc>
          <w:tcPr>
            <w:tcW w:w="4639" w:type="dxa"/>
            <w:vMerge w:val="restart"/>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项目名称</w:t>
            </w:r>
          </w:p>
        </w:tc>
        <w:tc>
          <w:tcPr>
            <w:tcW w:w="1561" w:type="dxa"/>
            <w:vMerge w:val="restart"/>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项目类型</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合计</w:t>
            </w:r>
          </w:p>
        </w:tc>
        <w:tc>
          <w:tcPr>
            <w:tcW w:w="3728" w:type="dxa"/>
            <w:gridSpan w:val="4"/>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财政拨款</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财政专户</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管理资金</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单位资金</w:t>
            </w:r>
          </w:p>
        </w:tc>
        <w:tc>
          <w:tcPr>
            <w:tcW w:w="933"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使用非财政拨款结余</w:t>
            </w:r>
          </w:p>
        </w:tc>
        <w:tc>
          <w:tcPr>
            <w:tcW w:w="933" w:type="dxa"/>
            <w:vMerge w:val="restart"/>
            <w:tcBorders>
              <w:top w:val="single" w:color="auto" w:sz="4" w:space="0"/>
              <w:left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上年结转</w:t>
            </w:r>
          </w:p>
        </w:tc>
      </w:tr>
      <w:tr>
        <w:tblPrEx>
          <w:tblCellMar>
            <w:top w:w="0" w:type="dxa"/>
            <w:left w:w="0" w:type="dxa"/>
            <w:bottom w:w="0" w:type="dxa"/>
            <w:right w:w="0" w:type="dxa"/>
          </w:tblCellMar>
        </w:tblPrEx>
        <w:trPr>
          <w:trHeight w:val="340" w:hRule="atLeast"/>
          <w:tblHeader/>
        </w:trPr>
        <w:tc>
          <w:tcPr>
            <w:tcW w:w="4639"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561"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2"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一般公共</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预算</w:t>
            </w: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政府性</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基金预算</w:t>
            </w:r>
          </w:p>
        </w:tc>
        <w:tc>
          <w:tcPr>
            <w:tcW w:w="93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国有资本</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经营预算</w:t>
            </w:r>
          </w:p>
        </w:tc>
        <w:tc>
          <w:tcPr>
            <w:tcW w:w="932"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2"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3"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933" w:type="dxa"/>
            <w:vMerge w:val="continue"/>
            <w:tcBorders>
              <w:left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textAlignment w:val="center"/>
              <w:rPr>
                <w:rFonts w:ascii="仿宋_GB2312" w:hAnsi="仿宋_GB2312" w:eastAsia="仿宋_GB2312" w:cs="仿宋_GB2312"/>
                <w:b/>
                <w:color w:val="000000"/>
                <w:sz w:val="18"/>
                <w:szCs w:val="18"/>
                <w:highlight w:val="none"/>
              </w:rPr>
            </w:pPr>
            <w:r>
              <w:rPr>
                <w:rFonts w:hint="eastAsia" w:ascii="仿宋_GB2312" w:hAnsi="仿宋_GB2312" w:eastAsia="仿宋_GB2312" w:cs="仿宋_GB2312"/>
                <w:b/>
                <w:color w:val="000000"/>
                <w:sz w:val="18"/>
                <w:szCs w:val="18"/>
                <w:highlight w:val="none"/>
              </w:rPr>
              <w:t xml:space="preserve">合 </w:t>
            </w:r>
            <w:r>
              <w:rPr>
                <w:rFonts w:ascii="仿宋_GB2312" w:hAnsi="仿宋_GB2312" w:eastAsia="仿宋_GB2312" w:cs="仿宋_GB2312"/>
                <w:b/>
                <w:color w:val="000000"/>
                <w:sz w:val="18"/>
                <w:szCs w:val="18"/>
                <w:highlight w:val="none"/>
              </w:rPr>
              <w:t xml:space="preserve">   </w:t>
            </w:r>
            <w:r>
              <w:rPr>
                <w:rFonts w:hint="eastAsia" w:ascii="仿宋_GB2312" w:hAnsi="仿宋_GB2312" w:eastAsia="仿宋_GB2312" w:cs="仿宋_GB2312"/>
                <w:b/>
                <w:color w:val="000000"/>
                <w:sz w:val="18"/>
                <w:szCs w:val="18"/>
                <w:highlight w:val="none"/>
              </w:rPr>
              <w:t>计</w:t>
            </w: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hint="default" w:ascii="仿宋_GB2312" w:hAnsi="仿宋_GB2312" w:eastAsia="仿宋_GB2312" w:cs="仿宋_GB2312"/>
                <w:b/>
                <w:color w:val="000000"/>
                <w:sz w:val="18"/>
                <w:szCs w:val="18"/>
                <w:highlight w:val="none"/>
                <w:lang w:val="en-US" w:eastAsia="zh-CN"/>
              </w:rPr>
            </w:pPr>
            <w:r>
              <w:rPr>
                <w:rFonts w:hint="eastAsia" w:ascii="仿宋_GB2312" w:hAnsi="仿宋_GB2312" w:eastAsia="仿宋_GB2312" w:cs="仿宋_GB2312"/>
                <w:b/>
                <w:color w:val="000000"/>
                <w:sz w:val="18"/>
                <w:szCs w:val="18"/>
                <w:highlight w:val="none"/>
                <w:lang w:val="en-US" w:eastAsia="zh-CN"/>
              </w:rPr>
              <w:t>102</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hint="default" w:ascii="仿宋_GB2312" w:hAnsi="仿宋_GB2312" w:eastAsia="仿宋_GB2312" w:cs="仿宋_GB2312"/>
                <w:b/>
                <w:color w:val="000000"/>
                <w:sz w:val="18"/>
                <w:szCs w:val="18"/>
                <w:highlight w:val="none"/>
                <w:lang w:val="en-US" w:eastAsia="zh-CN"/>
              </w:rPr>
            </w:pPr>
            <w:r>
              <w:rPr>
                <w:rFonts w:hint="eastAsia" w:ascii="仿宋_GB2312" w:hAnsi="仿宋_GB2312" w:eastAsia="仿宋_GB2312" w:cs="仿宋_GB2312"/>
                <w:b/>
                <w:color w:val="000000"/>
                <w:sz w:val="18"/>
                <w:szCs w:val="18"/>
                <w:highlight w:val="none"/>
                <w:lang w:val="en-US" w:eastAsia="zh-CN"/>
              </w:rPr>
              <w:t>102</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hint="default" w:ascii="仿宋_GB2312" w:hAnsi="仿宋_GB2312" w:eastAsia="仿宋_GB2312" w:cs="仿宋_GB2312"/>
                <w:b/>
                <w:color w:val="000000"/>
                <w:sz w:val="18"/>
                <w:szCs w:val="18"/>
                <w:highlight w:val="none"/>
                <w:lang w:val="en-US" w:eastAsia="zh-CN"/>
              </w:rPr>
            </w:pPr>
            <w:r>
              <w:rPr>
                <w:rFonts w:hint="eastAsia" w:ascii="仿宋_GB2312" w:hAnsi="仿宋_GB2312" w:eastAsia="仿宋_GB2312" w:cs="仿宋_GB2312"/>
                <w:b/>
                <w:color w:val="000000"/>
                <w:sz w:val="18"/>
                <w:szCs w:val="18"/>
                <w:highlight w:val="none"/>
                <w:lang w:val="en-US" w:eastAsia="zh-CN"/>
              </w:rPr>
              <w:t>102</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调研经费</w:t>
            </w: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其他运转类</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52</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52</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52</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 xml:space="preserve"> 留学人员统战工作经费</w:t>
            </w: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其他运转类</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jc w:val="center"/>
              <w:rPr>
                <w:rFonts w:hint="eastAsia" w:ascii="仿宋_GB2312" w:eastAsia="仿宋_GB2312" w:cs="Arial"/>
                <w:color w:val="000000"/>
                <w:sz w:val="18"/>
                <w:szCs w:val="18"/>
                <w:highlight w:val="none"/>
                <w:lang w:val="en-US" w:eastAsia="zh-CN"/>
              </w:rPr>
            </w:pPr>
            <w:r>
              <w:rPr>
                <w:rFonts w:hint="eastAsia" w:ascii="仿宋_GB2312" w:eastAsia="仿宋_GB2312" w:cs="Arial"/>
                <w:color w:val="000000"/>
                <w:sz w:val="18"/>
                <w:szCs w:val="18"/>
                <w:highlight w:val="none"/>
                <w:lang w:val="en-US" w:eastAsia="zh-CN"/>
              </w:rPr>
              <w:t>50</w:t>
            </w: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r>
        <w:tblPrEx>
          <w:tblCellMar>
            <w:top w:w="0" w:type="dxa"/>
            <w:left w:w="0" w:type="dxa"/>
            <w:bottom w:w="0" w:type="dxa"/>
            <w:right w:w="0" w:type="dxa"/>
          </w:tblCellMar>
        </w:tblPrEx>
        <w:trPr>
          <w:trHeight w:val="353"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highlight w:val="none"/>
              </w:rPr>
            </w:pPr>
          </w:p>
        </w:tc>
      </w:tr>
      <w:tr>
        <w:tblPrEx>
          <w:tblCellMar>
            <w:top w:w="0" w:type="dxa"/>
            <w:left w:w="0" w:type="dxa"/>
            <w:bottom w:w="0" w:type="dxa"/>
            <w:right w:w="0" w:type="dxa"/>
          </w:tblCellMar>
        </w:tblPrEx>
        <w:trPr>
          <w:trHeight w:val="340" w:hRule="atLeast"/>
        </w:trPr>
        <w:tc>
          <w:tcPr>
            <w:tcW w:w="4639"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highlight w:val="none"/>
              </w:rPr>
            </w:pPr>
          </w:p>
        </w:tc>
        <w:tc>
          <w:tcPr>
            <w:tcW w:w="156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2"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c>
          <w:tcPr>
            <w:tcW w:w="933"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highlight w:val="none"/>
              </w:rPr>
            </w:pPr>
          </w:p>
        </w:tc>
      </w:tr>
    </w:tbl>
    <w:p>
      <w:pPr>
        <w:jc w:val="left"/>
        <w:rPr>
          <w:rFonts w:hint="eastAsia" w:ascii="仿宋_GB2312" w:eastAsia="仿宋_GB2312"/>
          <w:b/>
          <w:szCs w:val="21"/>
          <w:highlight w:val="none"/>
        </w:rPr>
      </w:pPr>
      <w:r>
        <w:rPr>
          <w:rFonts w:hint="eastAsia" w:ascii="仿宋_GB2312" w:eastAsia="仿宋_GB2312"/>
          <w:b/>
          <w:szCs w:val="21"/>
          <w:highlight w:val="none"/>
        </w:rPr>
        <w:t>（注：根据国家保密法律法规和有关保密事项范围的规定，部分具体项目信息公开时予以剔除。）</w:t>
      </w: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p>
      <w:pPr>
        <w:jc w:val="left"/>
        <w:rPr>
          <w:rFonts w:hint="eastAsia" w:ascii="仿宋_GB2312" w:eastAsia="仿宋_GB2312"/>
          <w:b/>
          <w:szCs w:val="21"/>
          <w:highlight w:val="none"/>
        </w:rPr>
      </w:pPr>
    </w:p>
    <w:tbl>
      <w:tblPr>
        <w:tblStyle w:val="8"/>
        <w:tblW w:w="14590" w:type="dxa"/>
        <w:tblInd w:w="0" w:type="dxa"/>
        <w:tblLayout w:type="fixed"/>
        <w:tblCellMar>
          <w:top w:w="0" w:type="dxa"/>
          <w:left w:w="0" w:type="dxa"/>
          <w:bottom w:w="0" w:type="dxa"/>
          <w:right w:w="0" w:type="dxa"/>
        </w:tblCellMar>
      </w:tblPr>
      <w:tblGrid>
        <w:gridCol w:w="811"/>
        <w:gridCol w:w="811"/>
        <w:gridCol w:w="847"/>
        <w:gridCol w:w="1533"/>
        <w:gridCol w:w="1176"/>
        <w:gridCol w:w="1176"/>
        <w:gridCol w:w="1176"/>
        <w:gridCol w:w="1176"/>
        <w:gridCol w:w="1176"/>
        <w:gridCol w:w="1177"/>
        <w:gridCol w:w="1177"/>
        <w:gridCol w:w="1177"/>
        <w:gridCol w:w="1177"/>
      </w:tblGrid>
      <w:tr>
        <w:tblPrEx>
          <w:tblCellMar>
            <w:top w:w="0" w:type="dxa"/>
            <w:left w:w="0" w:type="dxa"/>
            <w:bottom w:w="0" w:type="dxa"/>
            <w:right w:w="0" w:type="dxa"/>
          </w:tblCellMar>
        </w:tblPrEx>
        <w:trPr>
          <w:trHeight w:val="480" w:hRule="atLeast"/>
        </w:trPr>
        <w:tc>
          <w:tcPr>
            <w:tcW w:w="14590" w:type="dxa"/>
            <w:gridSpan w:val="13"/>
            <w:tcBorders>
              <w:top w:val="nil"/>
              <w:left w:val="nil"/>
              <w:bottom w:val="nil"/>
              <w:right w:val="nil"/>
            </w:tcBorders>
            <w:shd w:val="clear" w:color="000000" w:fill="FFFFFF"/>
            <w:noWrap/>
            <w:tcMar>
              <w:top w:w="10" w:type="dxa"/>
              <w:left w:w="10" w:type="dxa"/>
              <w:right w:w="10" w:type="dxa"/>
            </w:tcMar>
            <w:vAlign w:val="center"/>
          </w:tcPr>
          <w:p>
            <w:pPr>
              <w:jc w:val="right"/>
              <w:rPr>
                <w:rFonts w:hint="eastAsia" w:ascii="宋体" w:hAnsi="宋体" w:eastAsia="黑体" w:cs="宋体"/>
                <w:color w:val="000000"/>
                <w:sz w:val="18"/>
                <w:szCs w:val="18"/>
                <w:highlight w:val="none"/>
                <w:lang w:eastAsia="zh-CN"/>
              </w:rPr>
            </w:pPr>
            <w:bookmarkStart w:id="2" w:name="_Hlk95413875"/>
            <w:r>
              <w:rPr>
                <w:rFonts w:hint="eastAsia" w:ascii="黑体" w:hAnsi="黑体" w:eastAsia="黑体"/>
                <w:bCs/>
                <w:szCs w:val="21"/>
                <w:highlight w:val="none"/>
              </w:rPr>
              <w:t>公开表</w:t>
            </w:r>
            <w:r>
              <w:rPr>
                <w:rFonts w:ascii="黑体" w:hAnsi="黑体" w:eastAsia="黑体"/>
                <w:bCs/>
                <w:szCs w:val="21"/>
                <w:highlight w:val="none"/>
              </w:rPr>
              <w:t>1</w:t>
            </w:r>
            <w:r>
              <w:rPr>
                <w:rFonts w:hint="eastAsia" w:ascii="黑体" w:hAnsi="黑体" w:eastAsia="黑体"/>
                <w:bCs/>
                <w:szCs w:val="21"/>
                <w:highlight w:val="none"/>
                <w:lang w:val="en-US" w:eastAsia="zh-CN"/>
              </w:rPr>
              <w:t>2</w:t>
            </w:r>
          </w:p>
        </w:tc>
      </w:tr>
      <w:tr>
        <w:tblPrEx>
          <w:tblCellMar>
            <w:top w:w="0" w:type="dxa"/>
            <w:left w:w="0" w:type="dxa"/>
            <w:bottom w:w="0" w:type="dxa"/>
            <w:right w:w="0" w:type="dxa"/>
          </w:tblCellMar>
        </w:tblPrEx>
        <w:trPr>
          <w:trHeight w:val="510" w:hRule="atLeast"/>
        </w:trPr>
        <w:tc>
          <w:tcPr>
            <w:tcW w:w="14590" w:type="dxa"/>
            <w:gridSpan w:val="13"/>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highlight w:val="none"/>
              </w:rPr>
            </w:pPr>
            <w:r>
              <w:rPr>
                <w:rFonts w:hint="eastAsia" w:ascii="黑体" w:hAnsi="黑体" w:eastAsia="黑体"/>
                <w:bCs/>
                <w:sz w:val="28"/>
                <w:szCs w:val="28"/>
                <w:highlight w:val="none"/>
              </w:rPr>
              <w:t>政府采购预算表</w:t>
            </w:r>
          </w:p>
        </w:tc>
      </w:tr>
      <w:tr>
        <w:tblPrEx>
          <w:tblCellMar>
            <w:top w:w="0" w:type="dxa"/>
            <w:left w:w="0" w:type="dxa"/>
            <w:bottom w:w="0" w:type="dxa"/>
            <w:right w:w="0" w:type="dxa"/>
          </w:tblCellMar>
        </w:tblPrEx>
        <w:trPr>
          <w:trHeight w:val="525" w:hRule="atLeast"/>
        </w:trPr>
        <w:tc>
          <w:tcPr>
            <w:tcW w:w="14590" w:type="dxa"/>
            <w:gridSpan w:val="13"/>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宋体" w:hAnsi="宋体" w:cs="宋体"/>
                <w:color w:val="000000"/>
                <w:sz w:val="18"/>
                <w:szCs w:val="18"/>
                <w:highlight w:val="none"/>
              </w:rPr>
            </w:pPr>
            <w:r>
              <w:rPr>
                <w:rFonts w:hint="eastAsia" w:ascii="宋体" w:hAnsi="宋体" w:cs="宋体"/>
                <w:color w:val="000000"/>
                <w:kern w:val="0"/>
                <w:sz w:val="18"/>
                <w:szCs w:val="18"/>
                <w:highlight w:val="none"/>
                <w:lang w:bidi="ar"/>
              </w:rPr>
              <w:t>单位：万元</w:t>
            </w:r>
          </w:p>
        </w:tc>
      </w:tr>
      <w:tr>
        <w:tblPrEx>
          <w:tblCellMar>
            <w:top w:w="0" w:type="dxa"/>
            <w:left w:w="0" w:type="dxa"/>
            <w:bottom w:w="0" w:type="dxa"/>
            <w:right w:w="0" w:type="dxa"/>
          </w:tblCellMar>
        </w:tblPrEx>
        <w:trPr>
          <w:trHeight w:val="398" w:hRule="atLeast"/>
        </w:trPr>
        <w:tc>
          <w:tcPr>
            <w:tcW w:w="2469" w:type="dxa"/>
            <w:gridSpan w:val="3"/>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科目编码</w:t>
            </w:r>
          </w:p>
        </w:tc>
        <w:tc>
          <w:tcPr>
            <w:tcW w:w="1533"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科目名称</w:t>
            </w:r>
          </w:p>
        </w:tc>
        <w:tc>
          <w:tcPr>
            <w:tcW w:w="10588" w:type="dxa"/>
            <w:gridSpan w:val="9"/>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资     金     来     源</w:t>
            </w:r>
          </w:p>
        </w:tc>
      </w:tr>
      <w:tr>
        <w:tblPrEx>
          <w:tblCellMar>
            <w:top w:w="0" w:type="dxa"/>
            <w:left w:w="0" w:type="dxa"/>
            <w:bottom w:w="0" w:type="dxa"/>
            <w:right w:w="0" w:type="dxa"/>
          </w:tblCellMar>
        </w:tblPrEx>
        <w:trPr>
          <w:trHeight w:val="398" w:hRule="atLeast"/>
        </w:trPr>
        <w:tc>
          <w:tcPr>
            <w:tcW w:w="81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类</w:t>
            </w:r>
          </w:p>
        </w:tc>
        <w:tc>
          <w:tcPr>
            <w:tcW w:w="81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款</w:t>
            </w:r>
          </w:p>
        </w:tc>
        <w:tc>
          <w:tcPr>
            <w:tcW w:w="84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项</w:t>
            </w:r>
          </w:p>
        </w:tc>
        <w:tc>
          <w:tcPr>
            <w:tcW w:w="1533"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6"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合计</w:t>
            </w:r>
          </w:p>
        </w:tc>
        <w:tc>
          <w:tcPr>
            <w:tcW w:w="4704"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财政拨款</w:t>
            </w:r>
          </w:p>
        </w:tc>
        <w:tc>
          <w:tcPr>
            <w:tcW w:w="117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财政专户</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管理资金</w:t>
            </w:r>
          </w:p>
        </w:tc>
        <w:tc>
          <w:tcPr>
            <w:tcW w:w="117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单位资金</w:t>
            </w:r>
          </w:p>
        </w:tc>
        <w:tc>
          <w:tcPr>
            <w:tcW w:w="117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使用非财</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政拨款结余</w:t>
            </w:r>
          </w:p>
        </w:tc>
        <w:tc>
          <w:tcPr>
            <w:tcW w:w="1177" w:type="dxa"/>
            <w:vMerge w:val="restart"/>
            <w:tcBorders>
              <w:top w:val="single" w:color="auto" w:sz="4" w:space="0"/>
              <w:left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上年结转</w:t>
            </w:r>
          </w:p>
        </w:tc>
      </w:tr>
      <w:tr>
        <w:tblPrEx>
          <w:tblCellMar>
            <w:top w:w="0" w:type="dxa"/>
            <w:left w:w="0" w:type="dxa"/>
            <w:bottom w:w="0" w:type="dxa"/>
            <w:right w:w="0" w:type="dxa"/>
          </w:tblCellMar>
        </w:tblPrEx>
        <w:trPr>
          <w:trHeight w:val="638" w:hRule="atLeast"/>
        </w:trPr>
        <w:tc>
          <w:tcPr>
            <w:tcW w:w="81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81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84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533"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6"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小计</w:t>
            </w: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一般公共</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预算</w:t>
            </w: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政府性</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基金预算</w:t>
            </w: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黑体" w:hAnsi="黑体" w:eastAsia="黑体" w:cs="黑体"/>
                <w:color w:val="000000"/>
                <w:kern w:val="0"/>
                <w:sz w:val="18"/>
                <w:szCs w:val="18"/>
                <w:highlight w:val="none"/>
                <w:lang w:bidi="ar"/>
              </w:rPr>
            </w:pPr>
            <w:r>
              <w:rPr>
                <w:rFonts w:hint="eastAsia" w:ascii="黑体" w:hAnsi="黑体" w:eastAsia="黑体" w:cs="黑体"/>
                <w:color w:val="000000"/>
                <w:kern w:val="0"/>
                <w:sz w:val="18"/>
                <w:szCs w:val="18"/>
                <w:highlight w:val="none"/>
                <w:lang w:bidi="ar"/>
              </w:rPr>
              <w:t>国有资本</w:t>
            </w:r>
          </w:p>
          <w:p>
            <w:pPr>
              <w:widowControl/>
              <w:jc w:val="center"/>
              <w:textAlignment w:val="center"/>
              <w:rPr>
                <w:rFonts w:ascii="黑体" w:hAnsi="黑体" w:eastAsia="黑体" w:cs="黑体"/>
                <w:color w:val="000000"/>
                <w:sz w:val="18"/>
                <w:szCs w:val="18"/>
                <w:highlight w:val="none"/>
              </w:rPr>
            </w:pPr>
            <w:r>
              <w:rPr>
                <w:rFonts w:hint="eastAsia" w:ascii="黑体" w:hAnsi="黑体" w:eastAsia="黑体" w:cs="黑体"/>
                <w:color w:val="000000"/>
                <w:kern w:val="0"/>
                <w:sz w:val="18"/>
                <w:szCs w:val="18"/>
                <w:highlight w:val="none"/>
                <w:lang w:bidi="ar"/>
              </w:rPr>
              <w:t>经营预算</w:t>
            </w:r>
          </w:p>
        </w:tc>
        <w:tc>
          <w:tcPr>
            <w:tcW w:w="117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highlight w:val="none"/>
              </w:rPr>
            </w:pPr>
          </w:p>
        </w:tc>
        <w:tc>
          <w:tcPr>
            <w:tcW w:w="1177" w:type="dxa"/>
            <w:vMerge w:val="continue"/>
            <w:tcBorders>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highlight w:val="none"/>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4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53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4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53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4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53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r>
      <w:tr>
        <w:tblPrEx>
          <w:tblCellMar>
            <w:top w:w="0" w:type="dxa"/>
            <w:left w:w="0" w:type="dxa"/>
            <w:bottom w:w="0" w:type="dxa"/>
            <w:right w:w="0" w:type="dxa"/>
          </w:tblCellMar>
        </w:tblPrEx>
        <w:trPr>
          <w:trHeight w:val="398" w:hRule="atLeast"/>
        </w:trPr>
        <w:tc>
          <w:tcPr>
            <w:tcW w:w="81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11"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84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533"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c>
          <w:tcPr>
            <w:tcW w:w="117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宋体" w:hAnsi="宋体" w:cs="宋体"/>
                <w:color w:val="000000"/>
                <w:sz w:val="18"/>
                <w:szCs w:val="18"/>
                <w:highlight w:val="none"/>
              </w:rPr>
            </w:pPr>
          </w:p>
        </w:tc>
      </w:tr>
    </w:tbl>
    <w:p>
      <w:pPr>
        <w:jc w:val="left"/>
        <w:rPr>
          <w:rFonts w:ascii="楷体_GB2312" w:eastAsia="楷体_GB2312"/>
          <w:sz w:val="32"/>
          <w:szCs w:val="32"/>
          <w:highlight w:val="none"/>
        </w:rPr>
      </w:pPr>
    </w:p>
    <w:bookmarkEnd w:id="2"/>
    <w:p>
      <w:pPr>
        <w:jc w:val="left"/>
        <w:rPr>
          <w:rFonts w:ascii="仿宋_GB2312" w:eastAsia="仿宋_GB2312"/>
          <w:b/>
          <w:szCs w:val="21"/>
          <w:highlight w:val="none"/>
        </w:rPr>
      </w:pPr>
      <w:r>
        <w:rPr>
          <w:rFonts w:hint="eastAsia" w:ascii="仿宋_GB2312" w:eastAsia="仿宋_GB2312"/>
          <w:b/>
          <w:szCs w:val="21"/>
          <w:highlight w:val="none"/>
        </w:rPr>
        <w:t>（注：</w:t>
      </w:r>
      <w:r>
        <w:rPr>
          <w:rFonts w:hint="eastAsia" w:ascii="仿宋_GB2312" w:eastAsia="仿宋_GB2312"/>
          <w:b/>
          <w:szCs w:val="21"/>
          <w:highlight w:val="none"/>
          <w:lang w:eastAsia="zh-CN"/>
        </w:rPr>
        <w:t>2023</w:t>
      </w:r>
      <w:r>
        <w:rPr>
          <w:rFonts w:hint="eastAsia" w:ascii="仿宋_GB2312" w:eastAsia="仿宋_GB2312"/>
          <w:b/>
          <w:szCs w:val="21"/>
          <w:highlight w:val="none"/>
        </w:rPr>
        <w:t>年</w:t>
      </w:r>
      <w:r>
        <w:rPr>
          <w:rFonts w:hint="eastAsia" w:ascii="仿宋_GB2312" w:eastAsia="仿宋_GB2312"/>
          <w:b/>
          <w:szCs w:val="21"/>
          <w:highlight w:val="none"/>
          <w:lang w:val="en-US" w:eastAsia="zh-CN"/>
        </w:rPr>
        <w:t>未安排政府采购预算</w:t>
      </w:r>
      <w:r>
        <w:rPr>
          <w:rFonts w:hint="eastAsia" w:ascii="仿宋_GB2312" w:eastAsia="仿宋_GB2312"/>
          <w:b/>
          <w:szCs w:val="21"/>
          <w:highlight w:val="none"/>
        </w:rPr>
        <w:t>。）</w:t>
      </w:r>
    </w:p>
    <w:p>
      <w:pPr>
        <w:jc w:val="left"/>
        <w:rPr>
          <w:rFonts w:hint="eastAsia" w:ascii="仿宋_GB2312" w:eastAsia="仿宋_GB2312"/>
          <w:b/>
          <w:szCs w:val="21"/>
          <w:highlight w:val="none"/>
        </w:rPr>
      </w:pPr>
    </w:p>
    <w:p>
      <w:pPr>
        <w:rPr>
          <w:rFonts w:ascii="黑体" w:eastAsia="黑体"/>
          <w:sz w:val="52"/>
          <w:szCs w:val="52"/>
          <w:highlight w:val="none"/>
        </w:rPr>
      </w:pPr>
    </w:p>
    <w:p>
      <w:pPr>
        <w:rPr>
          <w:rFonts w:ascii="黑体" w:eastAsia="黑体"/>
          <w:sz w:val="52"/>
          <w:szCs w:val="52"/>
          <w:highlight w:val="none"/>
        </w:rPr>
        <w:sectPr>
          <w:pgSz w:w="16838" w:h="11906" w:orient="landscape"/>
          <w:pgMar w:top="1701" w:right="1134" w:bottom="1701" w:left="1134" w:header="851" w:footer="992" w:gutter="0"/>
          <w:cols w:space="720" w:num="1"/>
          <w:docGrid w:linePitch="312" w:charSpace="0"/>
        </w:sectPr>
      </w:pPr>
    </w:p>
    <w:p>
      <w:pPr>
        <w:rPr>
          <w:rFonts w:ascii="黑体" w:eastAsia="黑体"/>
          <w:sz w:val="52"/>
          <w:szCs w:val="52"/>
          <w:highlight w:val="none"/>
        </w:rPr>
      </w:pPr>
      <w:r>
        <w:rPr>
          <w:rFonts w:hint="eastAsia" w:ascii="黑体" w:eastAsia="黑体"/>
          <w:sz w:val="52"/>
          <w:szCs w:val="52"/>
          <w:highlight w:val="none"/>
        </w:rPr>
        <w:t>第三部分</w:t>
      </w:r>
    </w:p>
    <w:p>
      <w:pPr>
        <w:ind w:left="1041" w:leftChars="372" w:hanging="260" w:hangingChars="50"/>
        <w:jc w:val="center"/>
        <w:rPr>
          <w:rFonts w:ascii="黑体" w:eastAsia="黑体"/>
          <w:sz w:val="52"/>
          <w:szCs w:val="52"/>
          <w:highlight w:val="none"/>
        </w:rPr>
      </w:pPr>
    </w:p>
    <w:p>
      <w:pPr>
        <w:ind w:left="1041" w:leftChars="372" w:hanging="260" w:hangingChars="50"/>
        <w:jc w:val="center"/>
        <w:rPr>
          <w:rFonts w:ascii="黑体" w:eastAsia="黑体"/>
          <w:sz w:val="52"/>
          <w:szCs w:val="52"/>
          <w:highlight w:val="none"/>
        </w:rPr>
      </w:pPr>
    </w:p>
    <w:p>
      <w:pPr>
        <w:ind w:left="1041" w:leftChars="372" w:hanging="260" w:hangingChars="50"/>
        <w:jc w:val="center"/>
        <w:rPr>
          <w:rFonts w:ascii="黑体" w:eastAsia="黑体"/>
          <w:sz w:val="52"/>
          <w:szCs w:val="52"/>
          <w:highlight w:val="none"/>
        </w:rPr>
      </w:pPr>
    </w:p>
    <w:p>
      <w:pPr>
        <w:ind w:left="277" w:leftChars="8" w:hanging="260" w:hangingChars="50"/>
        <w:jc w:val="center"/>
        <w:rPr>
          <w:rFonts w:ascii="黑体" w:eastAsia="黑体"/>
          <w:sz w:val="52"/>
          <w:szCs w:val="52"/>
          <w:highlight w:val="none"/>
        </w:rPr>
      </w:pPr>
      <w:r>
        <w:rPr>
          <w:rFonts w:hint="eastAsia" w:ascii="黑体" w:eastAsia="黑体"/>
          <w:sz w:val="52"/>
          <w:szCs w:val="52"/>
          <w:highlight w:val="none"/>
          <w:lang w:eastAsia="zh-CN"/>
        </w:rPr>
        <w:t>2023</w:t>
      </w:r>
      <w:r>
        <w:rPr>
          <w:rFonts w:hint="eastAsia" w:ascii="黑体" w:eastAsia="黑体"/>
          <w:sz w:val="52"/>
          <w:szCs w:val="52"/>
          <w:highlight w:val="none"/>
        </w:rPr>
        <w:t>年部门预算情况和</w:t>
      </w:r>
    </w:p>
    <w:p>
      <w:pPr>
        <w:ind w:left="277" w:leftChars="8" w:hanging="260" w:hangingChars="50"/>
        <w:jc w:val="center"/>
        <w:rPr>
          <w:rFonts w:ascii="黑体" w:eastAsia="黑体"/>
          <w:sz w:val="52"/>
          <w:szCs w:val="52"/>
          <w:highlight w:val="none"/>
        </w:rPr>
      </w:pPr>
      <w:r>
        <w:rPr>
          <w:rFonts w:hint="eastAsia" w:ascii="黑体" w:eastAsia="黑体"/>
          <w:sz w:val="52"/>
          <w:szCs w:val="52"/>
          <w:highlight w:val="none"/>
        </w:rPr>
        <w:t>重要事项说明</w:t>
      </w:r>
    </w:p>
    <w:p>
      <w:pPr>
        <w:ind w:left="1041" w:leftChars="372" w:hanging="260" w:hangingChars="50"/>
        <w:jc w:val="center"/>
        <w:rPr>
          <w:rFonts w:ascii="黑体" w:eastAsia="黑体"/>
          <w:sz w:val="52"/>
          <w:szCs w:val="52"/>
          <w:highlight w:val="none"/>
        </w:rPr>
      </w:pPr>
    </w:p>
    <w:p>
      <w:pPr>
        <w:ind w:left="1041" w:leftChars="372" w:hanging="260" w:hangingChars="50"/>
        <w:jc w:val="center"/>
        <w:rPr>
          <w:rFonts w:ascii="黑体" w:eastAsia="黑体"/>
          <w:sz w:val="52"/>
          <w:szCs w:val="52"/>
          <w:highlight w:val="none"/>
        </w:rPr>
      </w:pPr>
    </w:p>
    <w:p>
      <w:pPr>
        <w:ind w:left="1041" w:leftChars="372" w:hanging="260" w:hangingChars="50"/>
        <w:jc w:val="center"/>
        <w:rPr>
          <w:rFonts w:ascii="黑体" w:eastAsia="黑体"/>
          <w:sz w:val="52"/>
          <w:szCs w:val="52"/>
          <w:highlight w:val="none"/>
        </w:rPr>
      </w:pPr>
    </w:p>
    <w:p>
      <w:pPr>
        <w:rPr>
          <w:rFonts w:ascii="黑体" w:eastAsia="黑体"/>
          <w:sz w:val="32"/>
          <w:szCs w:val="32"/>
          <w:highlight w:val="none"/>
        </w:rPr>
      </w:pPr>
      <w:r>
        <w:rPr>
          <w:rFonts w:ascii="黑体" w:eastAsia="黑体"/>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楷体_GB2312" w:eastAsia="楷体_GB2312"/>
          <w:sz w:val="32"/>
          <w:szCs w:val="32"/>
          <w:highlight w:val="none"/>
        </w:rPr>
      </w:pPr>
      <w:r>
        <w:rPr>
          <w:rFonts w:hint="eastAsia" w:ascii="黑体" w:eastAsia="黑体"/>
          <w:sz w:val="32"/>
          <w:szCs w:val="32"/>
          <w:highlight w:val="none"/>
        </w:rPr>
        <w:t>一、</w:t>
      </w:r>
      <w:r>
        <w:rPr>
          <w:rFonts w:hint="eastAsia" w:ascii="黑体" w:eastAsia="黑体"/>
          <w:sz w:val="32"/>
          <w:szCs w:val="32"/>
          <w:highlight w:val="none"/>
          <w:lang w:val="en-US" w:eastAsia="zh-CN"/>
        </w:rPr>
        <w:t>预算收支增减变化情况</w:t>
      </w:r>
      <w:r>
        <w:rPr>
          <w:rFonts w:hint="eastAsia" w:ascii="黑体" w:eastAsia="黑体"/>
          <w:sz w:val="32"/>
          <w:szCs w:val="32"/>
          <w:highlight w:val="none"/>
        </w:rPr>
        <w:t>说明</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sz w:val="32"/>
          <w:szCs w:val="32"/>
          <w:highlight w:val="none"/>
        </w:rPr>
      </w:pPr>
      <w:r>
        <w:rPr>
          <w:rFonts w:hint="eastAsia" w:ascii="仿宋_GB2312" w:eastAsia="仿宋_GB2312"/>
          <w:sz w:val="32"/>
          <w:szCs w:val="32"/>
          <w:highlight w:val="none"/>
        </w:rPr>
        <w:t>按照综合预算的原则，</w:t>
      </w:r>
      <w:r>
        <w:rPr>
          <w:rFonts w:hint="eastAsia" w:ascii="仿宋_GB2312" w:eastAsia="仿宋_GB2312"/>
          <w:sz w:val="32"/>
          <w:szCs w:val="32"/>
          <w:highlight w:val="none"/>
          <w:lang w:val="en-US" w:eastAsia="zh-CN"/>
        </w:rPr>
        <w:t>本</w:t>
      </w:r>
      <w:r>
        <w:rPr>
          <w:rFonts w:hint="eastAsia" w:eastAsia="仿宋_GB2312"/>
          <w:sz w:val="32"/>
          <w:szCs w:val="32"/>
          <w:highlight w:val="none"/>
          <w:lang w:val="en-US" w:eastAsia="zh-CN"/>
        </w:rPr>
        <w:t>部门</w:t>
      </w:r>
      <w:r>
        <w:rPr>
          <w:rFonts w:hint="eastAsia" w:ascii="仿宋_GB2312" w:eastAsia="仿宋_GB2312"/>
          <w:sz w:val="32"/>
          <w:szCs w:val="32"/>
          <w:highlight w:val="none"/>
        </w:rPr>
        <w:t>所有收入和支出均纳入部门预算管理</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部门</w:t>
      </w:r>
      <w:r>
        <w:rPr>
          <w:rFonts w:hint="eastAsia" w:ascii="仿宋_GB2312" w:eastAsia="仿宋_GB2312"/>
          <w:sz w:val="32"/>
          <w:szCs w:val="32"/>
          <w:highlight w:val="none"/>
        </w:rPr>
        <w:t>本级和所属单位</w:t>
      </w:r>
      <w:r>
        <w:rPr>
          <w:rFonts w:hint="eastAsia" w:ascii="仿宋_GB2312" w:eastAsia="仿宋_GB2312"/>
          <w:sz w:val="32"/>
          <w:szCs w:val="32"/>
          <w:highlight w:val="none"/>
          <w:lang w:val="en-US" w:eastAsia="zh-CN"/>
        </w:rPr>
        <w:t>的</w:t>
      </w:r>
      <w:r>
        <w:rPr>
          <w:rFonts w:hint="eastAsia" w:ascii="仿宋_GB2312" w:eastAsia="仿宋_GB2312"/>
          <w:sz w:val="32"/>
          <w:szCs w:val="32"/>
          <w:highlight w:val="none"/>
        </w:rPr>
        <w:t>收入和支出</w:t>
      </w:r>
      <w:r>
        <w:rPr>
          <w:rFonts w:hint="eastAsia" w:ascii="仿宋_GB2312" w:eastAsia="仿宋_GB2312"/>
          <w:sz w:val="32"/>
          <w:szCs w:val="32"/>
          <w:highlight w:val="none"/>
          <w:lang w:val="en-US" w:eastAsia="zh-CN"/>
        </w:rPr>
        <w:t>均包含在部门预算中。</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b/>
          <w:bCs/>
          <w:sz w:val="32"/>
          <w:szCs w:val="32"/>
          <w:highlight w:val="none"/>
        </w:rPr>
      </w:pPr>
      <w:r>
        <w:rPr>
          <w:rFonts w:hint="eastAsia" w:ascii="仿宋_GB2312" w:eastAsia="仿宋_GB2312"/>
          <w:sz w:val="32"/>
          <w:szCs w:val="32"/>
          <w:highlight w:val="none"/>
          <w:lang w:val="en-US" w:eastAsia="zh-CN"/>
        </w:rPr>
        <w:t>收入预算：2023年收入预算</w:t>
      </w:r>
      <w:r>
        <w:rPr>
          <w:rFonts w:hint="eastAsia" w:eastAsia="仿宋_GB2312"/>
          <w:sz w:val="32"/>
          <w:szCs w:val="32"/>
          <w:highlight w:val="none"/>
          <w:lang w:val="en-US" w:eastAsia="zh-CN"/>
        </w:rPr>
        <w:t>1271.36万元，其中</w:t>
      </w:r>
      <w:r>
        <w:rPr>
          <w:rFonts w:hint="eastAsia" w:ascii="仿宋_GB2312" w:eastAsia="仿宋_GB2312"/>
          <w:sz w:val="32"/>
          <w:szCs w:val="32"/>
          <w:highlight w:val="none"/>
        </w:rPr>
        <w:t>一般公共预算收入</w:t>
      </w:r>
      <w:r>
        <w:rPr>
          <w:rFonts w:hint="eastAsia" w:eastAsia="仿宋_GB2312"/>
          <w:sz w:val="32"/>
          <w:szCs w:val="32"/>
          <w:highlight w:val="none"/>
          <w:lang w:val="en-US" w:eastAsia="zh-CN"/>
        </w:rPr>
        <w:t>1271.36万元</w:t>
      </w:r>
      <w:r>
        <w:rPr>
          <w:rFonts w:hint="eastAsia" w:ascii="仿宋_GB2312" w:eastAsia="仿宋_GB2312"/>
          <w:sz w:val="32"/>
          <w:szCs w:val="32"/>
          <w:highlight w:val="none"/>
        </w:rPr>
        <w:t>、政府性基金预算收入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、国有资本经营预算收入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、财政专户管理资金收入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、事业收入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、事业单位经营收入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、上级补助收入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、附属单位上缴收入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、其他收入</w:t>
      </w:r>
      <w:r>
        <w:rPr>
          <w:rFonts w:hint="eastAsia" w:eastAsia="仿宋_GB2312"/>
          <w:sz w:val="32"/>
          <w:szCs w:val="32"/>
          <w:highlight w:val="none"/>
          <w:lang w:val="en-US" w:eastAsia="zh-CN"/>
        </w:rPr>
        <w:t>0万元</w:t>
      </w:r>
      <w:r>
        <w:rPr>
          <w:rFonts w:hint="eastAsia" w:ascii="仿宋_GB2312" w:eastAsia="仿宋_GB2312"/>
          <w:sz w:val="32"/>
          <w:szCs w:val="32"/>
          <w:highlight w:val="none"/>
        </w:rPr>
        <w:t>、使用非财政拨款结余</w:t>
      </w:r>
      <w:r>
        <w:rPr>
          <w:rFonts w:hint="eastAsia" w:eastAsia="仿宋_GB2312"/>
          <w:sz w:val="32"/>
          <w:szCs w:val="32"/>
          <w:highlight w:val="none"/>
          <w:lang w:val="en-US" w:eastAsia="zh-CN"/>
        </w:rPr>
        <w:t>0万元</w:t>
      </w:r>
      <w:r>
        <w:rPr>
          <w:rFonts w:hint="eastAsia" w:ascii="仿宋_GB2312" w:eastAsia="仿宋_GB2312"/>
          <w:sz w:val="32"/>
          <w:szCs w:val="32"/>
          <w:highlight w:val="none"/>
        </w:rPr>
        <w:t>、上年结转</w:t>
      </w:r>
      <w:r>
        <w:rPr>
          <w:rFonts w:hint="eastAsia" w:eastAsia="仿宋_GB2312"/>
          <w:sz w:val="32"/>
          <w:szCs w:val="32"/>
          <w:highlight w:val="none"/>
          <w:lang w:val="en-US" w:eastAsia="zh-CN"/>
        </w:rPr>
        <w:t>0万元。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r>
        <w:rPr>
          <w:highlight w:val="none"/>
        </w:rPr>
        <w:drawing>
          <wp:anchor distT="0" distB="0" distL="114300" distR="114300" simplePos="0" relativeHeight="251659264" behindDoc="1" locked="0" layoutInCell="1" allowOverlap="1">
            <wp:simplePos x="0" y="0"/>
            <wp:positionH relativeFrom="column">
              <wp:posOffset>337820</wp:posOffset>
            </wp:positionH>
            <wp:positionV relativeFrom="paragraph">
              <wp:posOffset>137795</wp:posOffset>
            </wp:positionV>
            <wp:extent cx="4572000" cy="2743200"/>
            <wp:effectExtent l="4445" t="4445" r="14605" b="14605"/>
            <wp:wrapTight wrapText="bothSides">
              <wp:wrapPolygon>
                <wp:start x="-21" y="-35"/>
                <wp:lineTo x="-21" y="21565"/>
                <wp:lineTo x="21579" y="21565"/>
                <wp:lineTo x="21579" y="-35"/>
                <wp:lineTo x="-21" y="-35"/>
              </wp:wrapPolygon>
            </wp:wrapTight>
            <wp:docPr id="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eastAsia="仿宋_GB2312"/>
          <w:sz w:val="32"/>
          <w:szCs w:val="32"/>
          <w:highlight w:val="none"/>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eastAsia="仿宋_GB2312"/>
          <w:b/>
          <w:bCs/>
          <w:sz w:val="32"/>
          <w:szCs w:val="32"/>
          <w:highlight w:val="none"/>
        </w:rPr>
      </w:pPr>
      <w:r>
        <w:rPr>
          <w:rFonts w:hint="eastAsia" w:ascii="仿宋_GB2312" w:eastAsia="仿宋_GB2312"/>
          <w:sz w:val="32"/>
          <w:szCs w:val="32"/>
          <w:highlight w:val="none"/>
          <w:lang w:val="en-US" w:eastAsia="zh-CN"/>
        </w:rPr>
        <w:t>支出预算：2023年支出预算</w:t>
      </w:r>
      <w:r>
        <w:rPr>
          <w:rFonts w:hint="eastAsia" w:eastAsia="仿宋_GB2312"/>
          <w:sz w:val="32"/>
          <w:szCs w:val="32"/>
          <w:highlight w:val="none"/>
          <w:lang w:val="en-US" w:eastAsia="zh-CN"/>
        </w:rPr>
        <w:t>1271.36万元，</w:t>
      </w:r>
      <w:r>
        <w:rPr>
          <w:rFonts w:hint="eastAsia" w:ascii="仿宋_GB2312" w:eastAsia="仿宋_GB2312"/>
          <w:sz w:val="32"/>
          <w:szCs w:val="32"/>
          <w:highlight w:val="none"/>
        </w:rPr>
        <w:t>其中基本支出</w:t>
      </w:r>
      <w:r>
        <w:rPr>
          <w:rFonts w:hint="eastAsia" w:ascii="仿宋_GB2312" w:eastAsia="仿宋_GB2312"/>
          <w:sz w:val="32"/>
          <w:szCs w:val="32"/>
          <w:highlight w:val="none"/>
          <w:lang w:val="en-US" w:eastAsia="zh-CN"/>
        </w:rPr>
        <w:t>899.36</w:t>
      </w:r>
      <w:r>
        <w:rPr>
          <w:rFonts w:hint="eastAsia" w:ascii="仿宋_GB2312" w:eastAsia="仿宋_GB2312"/>
          <w:sz w:val="32"/>
          <w:szCs w:val="32"/>
          <w:highlight w:val="none"/>
        </w:rPr>
        <w:t>万元，项目支出</w:t>
      </w:r>
      <w:r>
        <w:rPr>
          <w:rFonts w:hint="eastAsia" w:ascii="仿宋_GB2312" w:eastAsia="仿宋_GB2312"/>
          <w:sz w:val="32"/>
          <w:szCs w:val="32"/>
          <w:highlight w:val="none"/>
          <w:lang w:val="en-US" w:eastAsia="zh-CN"/>
        </w:rPr>
        <w:t>372</w:t>
      </w:r>
      <w:r>
        <w:rPr>
          <w:rFonts w:hint="eastAsia" w:ascii="仿宋_GB2312" w:eastAsia="仿宋_GB2312"/>
          <w:sz w:val="32"/>
          <w:szCs w:val="32"/>
          <w:highlight w:val="none"/>
        </w:rPr>
        <w:t>万元，上缴上级支出</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万元，对附属单位补助支出</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万元，事业单位经营支出</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结转下年0</w:t>
      </w:r>
      <w:r>
        <w:rPr>
          <w:rFonts w:hint="eastAsia" w:ascii="仿宋_GB2312" w:eastAsia="仿宋_GB2312"/>
          <w:sz w:val="32"/>
          <w:szCs w:val="32"/>
          <w:highlight w:val="none"/>
        </w:rPr>
        <w:t>万元。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r>
        <w:rPr>
          <w:highlight w:val="none"/>
        </w:rPr>
        <w:drawing>
          <wp:anchor distT="0" distB="0" distL="114300" distR="114300" simplePos="0" relativeHeight="251660288" behindDoc="1" locked="0" layoutInCell="1" allowOverlap="1">
            <wp:simplePos x="0" y="0"/>
            <wp:positionH relativeFrom="column">
              <wp:posOffset>299720</wp:posOffset>
            </wp:positionH>
            <wp:positionV relativeFrom="paragraph">
              <wp:posOffset>-643255</wp:posOffset>
            </wp:positionV>
            <wp:extent cx="4572000" cy="3162300"/>
            <wp:effectExtent l="4445" t="4445" r="14605" b="14605"/>
            <wp:wrapTight wrapText="bothSides">
              <wp:wrapPolygon>
                <wp:start x="-21" y="-30"/>
                <wp:lineTo x="-21" y="21570"/>
                <wp:lineTo x="21579" y="21570"/>
                <wp:lineTo x="21579" y="-30"/>
                <wp:lineTo x="-21" y="-30"/>
              </wp:wrapPolygon>
            </wp:wrapTight>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_GB2312" w:eastAsia="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三</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增减变化情况：2023年收支预算</w:t>
      </w:r>
      <w:r>
        <w:rPr>
          <w:rFonts w:hint="eastAsia" w:eastAsia="仿宋_GB2312"/>
          <w:sz w:val="32"/>
          <w:szCs w:val="32"/>
          <w:highlight w:val="none"/>
          <w:lang w:val="en-US" w:eastAsia="zh-CN"/>
        </w:rPr>
        <w:t>1271.36万元，较上年预算增加120.2</w:t>
      </w:r>
      <w:r>
        <w:rPr>
          <w:rFonts w:hint="eastAsia" w:ascii="仿宋_GB2312" w:eastAsia="仿宋_GB2312"/>
          <w:sz w:val="32"/>
          <w:szCs w:val="32"/>
          <w:highlight w:val="none"/>
        </w:rPr>
        <w:t>万元</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其中：</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1.收入预算</w:t>
      </w:r>
      <w:r>
        <w:rPr>
          <w:rFonts w:hint="eastAsia" w:eastAsia="仿宋_GB2312"/>
          <w:sz w:val="32"/>
          <w:szCs w:val="32"/>
          <w:highlight w:val="none"/>
          <w:lang w:val="en-US" w:eastAsia="zh-CN"/>
        </w:rPr>
        <w:t>增加120.2万元，其中</w:t>
      </w:r>
      <w:r>
        <w:rPr>
          <w:rFonts w:hint="eastAsia" w:ascii="仿宋_GB2312" w:eastAsia="仿宋_GB2312"/>
          <w:sz w:val="32"/>
          <w:szCs w:val="32"/>
          <w:highlight w:val="none"/>
        </w:rPr>
        <w:t>一般公共预算收入</w:t>
      </w:r>
      <w:r>
        <w:rPr>
          <w:rFonts w:hint="eastAsia" w:eastAsia="仿宋_GB2312"/>
          <w:sz w:val="32"/>
          <w:szCs w:val="32"/>
          <w:highlight w:val="none"/>
          <w:lang w:val="en-US" w:eastAsia="zh-CN"/>
        </w:rPr>
        <w:t>增加120.2万元</w:t>
      </w:r>
      <w:r>
        <w:rPr>
          <w:rFonts w:hint="eastAsia" w:ascii="仿宋_GB2312" w:eastAsia="仿宋_GB2312"/>
          <w:sz w:val="32"/>
          <w:szCs w:val="32"/>
          <w:highlight w:val="none"/>
        </w:rPr>
        <w:t>、政府性基金预算收入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、国有资本经营预算收入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、财政专户管理资金收入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、事业收入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、事业单位经营收入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、上级补助收入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、附属单位上缴收入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、其他收入</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、使用非财政拨款结余</w:t>
      </w:r>
      <w:r>
        <w:rPr>
          <w:rFonts w:hint="eastAsia" w:eastAsia="仿宋_GB2312"/>
          <w:sz w:val="32"/>
          <w:szCs w:val="32"/>
          <w:highlight w:val="none"/>
          <w:lang w:val="en-US" w:eastAsia="zh-CN"/>
        </w:rPr>
        <w:t>增加0万元</w:t>
      </w:r>
      <w:r>
        <w:rPr>
          <w:rFonts w:hint="eastAsia" w:ascii="仿宋_GB2312" w:eastAsia="仿宋_GB2312"/>
          <w:sz w:val="32"/>
          <w:szCs w:val="32"/>
          <w:highlight w:val="none"/>
        </w:rPr>
        <w:t>、上年结转</w:t>
      </w:r>
      <w:r>
        <w:rPr>
          <w:rFonts w:hint="eastAsia" w:eastAsia="仿宋_GB2312"/>
          <w:sz w:val="32"/>
          <w:szCs w:val="32"/>
          <w:highlight w:val="none"/>
          <w:lang w:val="en-US" w:eastAsia="zh-CN"/>
        </w:rPr>
        <w:t>增加0万元。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eastAsia="仿宋_GB2312"/>
          <w:sz w:val="32"/>
          <w:szCs w:val="32"/>
          <w:highlight w:val="none"/>
          <w:lang w:val="en-US" w:eastAsia="zh-CN"/>
        </w:rPr>
      </w:pPr>
      <w:r>
        <w:rPr>
          <w:rFonts w:hint="eastAsia" w:ascii="仿宋_GB2312" w:eastAsia="仿宋_GB2312"/>
          <w:sz w:val="32"/>
          <w:szCs w:val="32"/>
          <w:highlight w:val="none"/>
          <w:lang w:val="en-US" w:eastAsia="zh-CN"/>
        </w:rPr>
        <w:t>2.支出预算</w:t>
      </w:r>
      <w:r>
        <w:rPr>
          <w:rFonts w:hint="eastAsia" w:eastAsia="仿宋_GB2312"/>
          <w:sz w:val="32"/>
          <w:szCs w:val="32"/>
          <w:highlight w:val="none"/>
          <w:lang w:val="en-US" w:eastAsia="zh-CN"/>
        </w:rPr>
        <w:t>增加120.2万元，</w:t>
      </w:r>
      <w:r>
        <w:rPr>
          <w:rFonts w:hint="eastAsia" w:ascii="仿宋_GB2312" w:eastAsia="仿宋_GB2312"/>
          <w:sz w:val="32"/>
          <w:szCs w:val="32"/>
          <w:highlight w:val="none"/>
          <w:lang w:val="en-US" w:eastAsia="zh-CN"/>
        </w:rPr>
        <w:t>其中基本支出增加</w:t>
      </w:r>
      <w:r>
        <w:rPr>
          <w:rFonts w:hint="eastAsia" w:eastAsia="仿宋_GB2312"/>
          <w:sz w:val="32"/>
          <w:szCs w:val="32"/>
          <w:highlight w:val="none"/>
          <w:lang w:val="en-US" w:eastAsia="zh-CN"/>
        </w:rPr>
        <w:t>0万元；项目支出</w:t>
      </w:r>
      <w:r>
        <w:rPr>
          <w:rFonts w:hint="eastAsia" w:ascii="仿宋_GB2312" w:eastAsia="仿宋_GB2312"/>
          <w:sz w:val="32"/>
          <w:szCs w:val="32"/>
          <w:highlight w:val="none"/>
          <w:lang w:val="en-US" w:eastAsia="zh-CN"/>
        </w:rPr>
        <w:t>增加</w:t>
      </w:r>
      <w:r>
        <w:rPr>
          <w:rFonts w:hint="eastAsia" w:eastAsia="仿宋_GB2312"/>
          <w:sz w:val="32"/>
          <w:szCs w:val="32"/>
          <w:highlight w:val="none"/>
          <w:lang w:val="en-US" w:eastAsia="zh-CN"/>
        </w:rPr>
        <w:t>120.2万元；上缴上级支出</w:t>
      </w:r>
      <w:r>
        <w:rPr>
          <w:rFonts w:hint="eastAsia" w:ascii="仿宋_GB2312" w:eastAsia="仿宋_GB2312"/>
          <w:sz w:val="32"/>
          <w:szCs w:val="32"/>
          <w:highlight w:val="none"/>
          <w:lang w:val="en-US" w:eastAsia="zh-CN"/>
        </w:rPr>
        <w:t>增加</w:t>
      </w:r>
      <w:r>
        <w:rPr>
          <w:rFonts w:hint="eastAsia" w:eastAsia="仿宋_GB2312"/>
          <w:sz w:val="32"/>
          <w:szCs w:val="32"/>
          <w:highlight w:val="none"/>
          <w:lang w:val="en-US" w:eastAsia="zh-CN"/>
        </w:rPr>
        <w:t>0万元；</w:t>
      </w:r>
      <w:r>
        <w:rPr>
          <w:rFonts w:hint="eastAsia" w:ascii="仿宋_GB2312" w:eastAsia="仿宋_GB2312"/>
          <w:sz w:val="32"/>
          <w:szCs w:val="32"/>
          <w:highlight w:val="none"/>
        </w:rPr>
        <w:t>对附属单位补助支出</w:t>
      </w:r>
      <w:r>
        <w:rPr>
          <w:rFonts w:hint="eastAsia" w:ascii="仿宋_GB2312" w:eastAsia="仿宋_GB2312"/>
          <w:sz w:val="32"/>
          <w:szCs w:val="32"/>
          <w:highlight w:val="none"/>
          <w:lang w:val="en-US" w:eastAsia="zh-CN"/>
        </w:rPr>
        <w:t>增加</w:t>
      </w:r>
      <w:r>
        <w:rPr>
          <w:rFonts w:hint="eastAsia" w:eastAsia="仿宋_GB2312"/>
          <w:sz w:val="32"/>
          <w:szCs w:val="32"/>
          <w:highlight w:val="none"/>
          <w:lang w:val="en-US" w:eastAsia="zh-CN"/>
        </w:rPr>
        <w:t>0万元；</w:t>
      </w:r>
      <w:r>
        <w:rPr>
          <w:rFonts w:hint="eastAsia" w:ascii="仿宋_GB2312" w:eastAsia="仿宋_GB2312"/>
          <w:sz w:val="32"/>
          <w:szCs w:val="32"/>
          <w:highlight w:val="none"/>
        </w:rPr>
        <w:t>事业单位经营支出</w:t>
      </w:r>
      <w:r>
        <w:rPr>
          <w:rFonts w:hint="eastAsia" w:ascii="仿宋_GB2312" w:eastAsia="仿宋_GB2312"/>
          <w:sz w:val="32"/>
          <w:szCs w:val="32"/>
          <w:highlight w:val="none"/>
          <w:lang w:val="en-US" w:eastAsia="zh-CN"/>
        </w:rPr>
        <w:t>增加</w:t>
      </w:r>
      <w:r>
        <w:rPr>
          <w:rFonts w:hint="eastAsia" w:eastAsia="仿宋_GB2312"/>
          <w:sz w:val="32"/>
          <w:szCs w:val="32"/>
          <w:highlight w:val="none"/>
          <w:lang w:val="en-US" w:eastAsia="zh-CN"/>
        </w:rPr>
        <w:t>0万元；</w:t>
      </w:r>
      <w:r>
        <w:rPr>
          <w:rFonts w:hint="eastAsia" w:ascii="仿宋_GB2312" w:eastAsia="仿宋_GB2312"/>
          <w:sz w:val="32"/>
          <w:szCs w:val="32"/>
          <w:highlight w:val="none"/>
          <w:lang w:val="en-US" w:eastAsia="zh-CN"/>
        </w:rPr>
        <w:t>结转下年增加</w:t>
      </w:r>
      <w:r>
        <w:rPr>
          <w:rFonts w:hint="eastAsia" w:eastAsia="仿宋_GB2312"/>
          <w:sz w:val="32"/>
          <w:szCs w:val="32"/>
          <w:highlight w:val="none"/>
          <w:lang w:val="en-US" w:eastAsia="zh-CN"/>
        </w:rPr>
        <w:t>0万元。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eastAsia="黑体"/>
          <w:sz w:val="32"/>
          <w:szCs w:val="32"/>
          <w:highlight w:val="none"/>
          <w:lang w:val="en-US" w:eastAsia="zh-CN"/>
        </w:rPr>
      </w:pPr>
      <w:r>
        <w:rPr>
          <w:rFonts w:hint="eastAsia" w:eastAsia="仿宋_GB2312"/>
          <w:sz w:val="32"/>
          <w:szCs w:val="32"/>
          <w:highlight w:val="none"/>
          <w:lang w:val="en-US" w:eastAsia="zh-CN"/>
        </w:rPr>
        <w:t>3.收支预算增加的主要原因：项目经费比去年有所增加。</w:t>
      </w:r>
      <w:r>
        <w:rPr>
          <w:rFonts w:hint="eastAsia" w:ascii="黑体" w:eastAsia="黑体"/>
          <w:sz w:val="32"/>
          <w:szCs w:val="32"/>
          <w:highlight w:val="none"/>
          <w:lang w:val="en-US" w:eastAsia="zh-CN"/>
        </w:rPr>
        <w:t>二、</w:t>
      </w:r>
      <w:r>
        <w:rPr>
          <w:rFonts w:hint="eastAsia" w:ascii="黑体" w:eastAsia="黑体"/>
          <w:sz w:val="32"/>
          <w:szCs w:val="32"/>
          <w:highlight w:val="none"/>
        </w:rPr>
        <w:t>“三公”经费支出</w:t>
      </w:r>
      <w:r>
        <w:rPr>
          <w:rFonts w:hint="eastAsia" w:ascii="黑体" w:eastAsia="黑体"/>
          <w:sz w:val="32"/>
          <w:szCs w:val="32"/>
          <w:highlight w:val="none"/>
          <w:lang w:val="en-US" w:eastAsia="zh-CN"/>
        </w:rPr>
        <w:t>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eastAsia="仿宋_GB2312"/>
          <w:sz w:val="32"/>
          <w:szCs w:val="32"/>
          <w:highlight w:val="none"/>
          <w:lang w:eastAsia="zh-CN"/>
        </w:rPr>
      </w:pPr>
      <w:r>
        <w:rPr>
          <w:rFonts w:hint="eastAsia" w:ascii="仿宋_GB2312" w:eastAsia="仿宋_GB2312"/>
          <w:sz w:val="32"/>
          <w:szCs w:val="32"/>
          <w:highlight w:val="none"/>
          <w:lang w:eastAsia="zh-CN"/>
        </w:rPr>
        <w:t>2023</w:t>
      </w:r>
      <w:r>
        <w:rPr>
          <w:rFonts w:hint="eastAsia" w:ascii="仿宋_GB2312" w:eastAsia="仿宋_GB2312"/>
          <w:sz w:val="32"/>
          <w:szCs w:val="32"/>
          <w:highlight w:val="none"/>
        </w:rPr>
        <w:t>年通过一般公共预算财政拨款安排的</w:t>
      </w:r>
      <w:r>
        <w:rPr>
          <w:rFonts w:hint="eastAsia" w:eastAsia="仿宋_GB2312"/>
          <w:sz w:val="32"/>
          <w:szCs w:val="32"/>
          <w:highlight w:val="none"/>
        </w:rPr>
        <w:t>“三公”经费预算共</w:t>
      </w:r>
      <w:r>
        <w:rPr>
          <w:rFonts w:hint="eastAsia" w:ascii="仿宋_GB2312" w:eastAsia="仿宋_GB2312"/>
          <w:sz w:val="32"/>
          <w:szCs w:val="32"/>
          <w:highlight w:val="none"/>
          <w:lang w:val="en-US" w:eastAsia="zh-CN"/>
        </w:rPr>
        <w:t>3.5</w:t>
      </w:r>
      <w:r>
        <w:rPr>
          <w:rFonts w:hint="eastAsia" w:eastAsia="仿宋_GB2312"/>
          <w:sz w:val="32"/>
          <w:szCs w:val="32"/>
          <w:highlight w:val="none"/>
        </w:rPr>
        <w:t>万元，</w:t>
      </w:r>
      <w:r>
        <w:rPr>
          <w:rFonts w:hint="eastAsia" w:eastAsia="仿宋_GB2312"/>
          <w:sz w:val="32"/>
          <w:szCs w:val="32"/>
          <w:highlight w:val="none"/>
          <w:lang w:eastAsia="zh-CN"/>
        </w:rPr>
        <w:t>与上年持平。</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rPr>
      </w:pPr>
      <w:r>
        <w:rPr>
          <w:rFonts w:hint="eastAsia" w:ascii="仿宋_GB2312" w:eastAsia="仿宋_GB2312"/>
          <w:sz w:val="32"/>
          <w:szCs w:val="32"/>
          <w:highlight w:val="none"/>
        </w:rPr>
        <w:t>其中：</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因公出国（境）费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万元，与上年持平。</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rPr>
      </w:pP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公务用车购置及运行费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万元，包括公务用车购置费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万元，与上年持平；公务用车运行维护费</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万元，与上年持平。</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eastAsia="仿宋_GB2312"/>
          <w:sz w:val="32"/>
          <w:szCs w:val="32"/>
          <w:highlight w:val="none"/>
          <w:lang w:eastAsia="zh-CN"/>
        </w:rPr>
      </w:pP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公务接待费</w:t>
      </w:r>
      <w:r>
        <w:rPr>
          <w:rFonts w:hint="eastAsia" w:ascii="仿宋_GB2312" w:eastAsia="仿宋_GB2312"/>
          <w:sz w:val="32"/>
          <w:szCs w:val="32"/>
          <w:highlight w:val="none"/>
          <w:lang w:val="en-US" w:eastAsia="zh-CN"/>
        </w:rPr>
        <w:t>3.5</w:t>
      </w:r>
      <w:r>
        <w:rPr>
          <w:rFonts w:hint="eastAsia" w:ascii="仿宋_GB2312" w:eastAsia="仿宋_GB2312"/>
          <w:sz w:val="32"/>
          <w:szCs w:val="32"/>
          <w:highlight w:val="none"/>
        </w:rPr>
        <w:t>万元，与上年持平。</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eastAsia="黑体"/>
          <w:sz w:val="32"/>
          <w:szCs w:val="32"/>
          <w:highlight w:val="none"/>
          <w:lang w:val="en-US" w:eastAsia="zh-CN"/>
        </w:rPr>
      </w:pPr>
      <w:r>
        <w:rPr>
          <w:rFonts w:hint="eastAsia" w:ascii="黑体" w:eastAsia="黑体"/>
          <w:sz w:val="32"/>
          <w:szCs w:val="32"/>
          <w:highlight w:val="none"/>
          <w:lang w:val="en-US" w:eastAsia="zh-CN"/>
        </w:rPr>
        <w:t>三、机关运行经费情况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b/>
          <w:sz w:val="32"/>
          <w:szCs w:val="32"/>
          <w:highlight w:val="none"/>
        </w:rPr>
      </w:pPr>
      <w:r>
        <w:rPr>
          <w:rFonts w:hint="eastAsia" w:ascii="仿宋_GB2312" w:eastAsia="仿宋_GB2312"/>
          <w:sz w:val="32"/>
          <w:szCs w:val="32"/>
          <w:highlight w:val="none"/>
        </w:rPr>
        <w:t>机关运行经费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r>
        <w:rPr>
          <w:rFonts w:hint="eastAsia" w:ascii="仿宋_GB2312" w:eastAsia="仿宋_GB2312"/>
          <w:sz w:val="32"/>
          <w:szCs w:val="32"/>
          <w:highlight w:val="none"/>
          <w:lang w:val="en-US" w:eastAsia="zh-CN"/>
        </w:rPr>
        <w:t>2023年本部门机关运行经费安排89.6</w:t>
      </w:r>
      <w:r>
        <w:rPr>
          <w:rFonts w:hint="eastAsia" w:ascii="仿宋_GB2312" w:eastAsia="仿宋_GB2312"/>
          <w:sz w:val="32"/>
          <w:szCs w:val="32"/>
          <w:highlight w:val="none"/>
        </w:rPr>
        <w:t>万元。较</w:t>
      </w:r>
      <w:r>
        <w:rPr>
          <w:rFonts w:hint="eastAsia" w:ascii="仿宋_GB2312" w:eastAsia="仿宋_GB2312"/>
          <w:sz w:val="32"/>
          <w:szCs w:val="32"/>
          <w:highlight w:val="none"/>
          <w:lang w:eastAsia="zh-CN"/>
        </w:rPr>
        <w:t>2022</w:t>
      </w:r>
      <w:r>
        <w:rPr>
          <w:rFonts w:hint="eastAsia" w:ascii="仿宋_GB2312" w:eastAsia="仿宋_GB2312"/>
          <w:sz w:val="32"/>
          <w:szCs w:val="32"/>
          <w:highlight w:val="none"/>
        </w:rPr>
        <w:t>年预算减少</w:t>
      </w:r>
      <w:r>
        <w:rPr>
          <w:rFonts w:hint="eastAsia" w:ascii="仿宋_GB2312" w:eastAsia="仿宋_GB2312"/>
          <w:sz w:val="32"/>
          <w:szCs w:val="32"/>
          <w:highlight w:val="none"/>
          <w:lang w:val="en-US" w:eastAsia="zh-CN"/>
        </w:rPr>
        <w:t>39.64</w:t>
      </w:r>
      <w:r>
        <w:rPr>
          <w:rFonts w:hint="eastAsia" w:ascii="仿宋_GB2312" w:eastAsia="仿宋_GB2312"/>
          <w:sz w:val="32"/>
          <w:szCs w:val="32"/>
          <w:highlight w:val="none"/>
        </w:rPr>
        <w:t>万元，下降</w:t>
      </w:r>
      <w:r>
        <w:rPr>
          <w:rFonts w:hint="eastAsia" w:ascii="仿宋_GB2312" w:eastAsia="仿宋_GB2312"/>
          <w:sz w:val="32"/>
          <w:szCs w:val="32"/>
          <w:highlight w:val="none"/>
          <w:lang w:val="en-US" w:eastAsia="zh-CN"/>
        </w:rPr>
        <w:t>30.67</w:t>
      </w:r>
      <w:r>
        <w:rPr>
          <w:rFonts w:hint="eastAsia" w:ascii="仿宋_GB2312" w:eastAsia="仿宋_GB2312"/>
          <w:sz w:val="32"/>
          <w:szCs w:val="32"/>
          <w:highlight w:val="none"/>
        </w:rPr>
        <w:t>%。主要原因是：</w:t>
      </w:r>
      <w:r>
        <w:rPr>
          <w:rFonts w:hint="eastAsia" w:ascii="仿宋_GB2312" w:eastAsia="仿宋_GB2312"/>
          <w:sz w:val="32"/>
          <w:szCs w:val="32"/>
          <w:highlight w:val="none"/>
          <w:lang w:eastAsia="zh-CN"/>
        </w:rPr>
        <w:t>综合定额等公用经费按照相关规定予以压减。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eastAsia="黑体"/>
          <w:sz w:val="32"/>
          <w:szCs w:val="32"/>
          <w:highlight w:val="none"/>
          <w:lang w:val="en-US" w:eastAsia="zh-CN"/>
        </w:rPr>
      </w:pPr>
      <w:r>
        <w:rPr>
          <w:rFonts w:hint="eastAsia" w:ascii="黑体" w:eastAsia="黑体"/>
          <w:sz w:val="32"/>
          <w:szCs w:val="32"/>
          <w:highlight w:val="none"/>
          <w:lang w:val="en-US" w:eastAsia="zh-CN"/>
        </w:rPr>
        <w:t>四、政府采购情况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2023</w:t>
      </w:r>
      <w:r>
        <w:rPr>
          <w:rFonts w:hint="eastAsia" w:ascii="仿宋_GB2312" w:eastAsia="仿宋_GB2312"/>
          <w:sz w:val="32"/>
          <w:szCs w:val="32"/>
          <w:highlight w:val="none"/>
        </w:rPr>
        <w:t>年政府采购预算</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万元，其中：政府采购货物预算</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万元，政府采购工程预算</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万元，政府采购服务预算</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eastAsia="黑体"/>
          <w:sz w:val="32"/>
          <w:szCs w:val="32"/>
          <w:highlight w:val="none"/>
          <w:lang w:val="en-US" w:eastAsia="zh-CN"/>
        </w:rPr>
      </w:pPr>
      <w:r>
        <w:rPr>
          <w:rFonts w:hint="eastAsia" w:ascii="黑体" w:eastAsia="黑体"/>
          <w:sz w:val="32"/>
          <w:szCs w:val="32"/>
          <w:highlight w:val="none"/>
          <w:lang w:val="en-US" w:eastAsia="zh-CN"/>
        </w:rPr>
        <w:t>五、国有资产占有使用情况</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ascii="仿宋_GB2312" w:eastAsia="仿宋_GB2312"/>
          <w:sz w:val="32"/>
          <w:szCs w:val="32"/>
          <w:highlight w:val="none"/>
        </w:rPr>
      </w:pPr>
      <w:r>
        <w:rPr>
          <w:rFonts w:hint="eastAsia" w:ascii="仿宋_GB2312" w:eastAsia="仿宋_GB2312"/>
          <w:sz w:val="32"/>
          <w:szCs w:val="32"/>
          <w:highlight w:val="none"/>
        </w:rPr>
        <w:t>截至</w:t>
      </w:r>
      <w:r>
        <w:rPr>
          <w:rFonts w:hint="eastAsia" w:ascii="仿宋_GB2312" w:eastAsia="仿宋_GB2312"/>
          <w:sz w:val="32"/>
          <w:szCs w:val="32"/>
          <w:highlight w:val="none"/>
          <w:lang w:eastAsia="zh-CN"/>
        </w:rPr>
        <w:t>2022</w:t>
      </w:r>
      <w:r>
        <w:rPr>
          <w:rFonts w:hint="eastAsia" w:ascii="仿宋_GB2312" w:eastAsia="仿宋_GB2312"/>
          <w:sz w:val="32"/>
          <w:szCs w:val="32"/>
          <w:highlight w:val="none"/>
        </w:rPr>
        <w:t>年12月31日，</w:t>
      </w:r>
      <w:r>
        <w:rPr>
          <w:rFonts w:hint="eastAsia" w:ascii="仿宋_GB2312" w:eastAsia="仿宋_GB2312"/>
          <w:sz w:val="32"/>
          <w:szCs w:val="32"/>
          <w:highlight w:val="none"/>
          <w:lang w:val="en-US" w:eastAsia="zh-CN"/>
        </w:rPr>
        <w:t>本部门</w:t>
      </w:r>
      <w:r>
        <w:rPr>
          <w:rFonts w:hint="eastAsia" w:ascii="仿宋_GB2312" w:eastAsia="仿宋_GB2312"/>
          <w:sz w:val="32"/>
          <w:szCs w:val="32"/>
          <w:highlight w:val="none"/>
        </w:rPr>
        <w:t>共有车辆</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w:t>
      </w:r>
      <w:r>
        <w:rPr>
          <w:rFonts w:hint="eastAsia" w:ascii="仿宋_GB2312" w:eastAsia="仿宋_GB2312"/>
          <w:sz w:val="32"/>
          <w:szCs w:val="32"/>
          <w:highlight w:val="none"/>
          <w:lang w:val="en-US" w:eastAsia="zh-CN"/>
        </w:rPr>
        <w:t>，其中机</w:t>
      </w:r>
      <w:r>
        <w:rPr>
          <w:rFonts w:hint="eastAsia" w:ascii="仿宋_GB2312" w:eastAsia="仿宋_GB2312"/>
          <w:sz w:val="32"/>
          <w:szCs w:val="32"/>
          <w:highlight w:val="none"/>
        </w:rPr>
        <w:t>要通信用车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辆、应急保障用车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w:t>
      </w:r>
      <w:r>
        <w:rPr>
          <w:rFonts w:hint="eastAsia" w:ascii="仿宋_GB2312" w:hAnsi="仿宋" w:eastAsia="仿宋_GB2312"/>
          <w:sz w:val="32"/>
          <w:szCs w:val="32"/>
          <w:highlight w:val="none"/>
        </w:rPr>
        <w:t>执法执勤用车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辆，特种专业技术用车</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辆，其他</w:t>
      </w:r>
      <w:r>
        <w:rPr>
          <w:rFonts w:hint="eastAsia" w:ascii="仿宋_GB2312" w:eastAsia="仿宋_GB2312"/>
          <w:sz w:val="32"/>
          <w:szCs w:val="32"/>
          <w:highlight w:val="none"/>
          <w:lang w:val="en-US" w:eastAsia="zh-CN"/>
        </w:rPr>
        <w:t>按照规定配备的公务用车0</w:t>
      </w:r>
      <w:r>
        <w:rPr>
          <w:rFonts w:hint="eastAsia" w:ascii="仿宋_GB2312" w:eastAsia="仿宋_GB2312"/>
          <w:sz w:val="32"/>
          <w:szCs w:val="32"/>
          <w:highlight w:val="none"/>
        </w:rPr>
        <w:t>辆。单位价值50万元以上通用设备</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台（件、套），单位价值100万元以上专用设备</w:t>
      </w:r>
      <w:r>
        <w:rPr>
          <w:rFonts w:hint="eastAsia" w:ascii="仿宋_GB2312" w:eastAsia="仿宋_GB2312"/>
          <w:sz w:val="32"/>
          <w:szCs w:val="32"/>
          <w:highlight w:val="none"/>
          <w:lang w:val="en-US" w:eastAsia="zh-CN"/>
        </w:rPr>
        <w:t>0</w:t>
      </w:r>
      <w:r>
        <w:rPr>
          <w:rFonts w:hint="eastAsia" w:ascii="仿宋_GB2312" w:eastAsia="仿宋_GB2312"/>
          <w:sz w:val="32"/>
          <w:szCs w:val="32"/>
          <w:highlight w:val="none"/>
        </w:rPr>
        <w:t>台（件、套）。</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b/>
          <w:sz w:val="32"/>
          <w:szCs w:val="32"/>
          <w:highlight w:val="none"/>
          <w:lang w:eastAsia="zh-CN"/>
        </w:rPr>
      </w:pPr>
      <w:r>
        <w:rPr>
          <w:rFonts w:hint="eastAsia" w:ascii="仿宋_GB2312" w:eastAsia="仿宋_GB2312"/>
          <w:sz w:val="32"/>
          <w:szCs w:val="32"/>
          <w:highlight w:val="none"/>
          <w:lang w:eastAsia="zh-CN"/>
        </w:rPr>
        <w:t>2023</w:t>
      </w:r>
      <w:r>
        <w:rPr>
          <w:rFonts w:hint="eastAsia" w:ascii="仿宋_GB2312" w:eastAsia="仿宋_GB2312"/>
          <w:sz w:val="32"/>
          <w:szCs w:val="32"/>
          <w:highlight w:val="none"/>
        </w:rPr>
        <w:t>年预算未</w:t>
      </w:r>
      <w:r>
        <w:rPr>
          <w:rFonts w:hint="eastAsia" w:ascii="仿宋_GB2312" w:eastAsia="仿宋_GB2312"/>
          <w:sz w:val="32"/>
          <w:szCs w:val="32"/>
          <w:highlight w:val="none"/>
          <w:lang w:val="en-US" w:eastAsia="zh-CN"/>
        </w:rPr>
        <w:t>安排购置</w:t>
      </w:r>
      <w:r>
        <w:rPr>
          <w:rFonts w:hint="eastAsia" w:ascii="仿宋_GB2312" w:eastAsia="仿宋_GB2312"/>
          <w:sz w:val="32"/>
          <w:szCs w:val="32"/>
          <w:highlight w:val="none"/>
        </w:rPr>
        <w:t>单位价值50万元以上通用设备、</w:t>
      </w:r>
      <w:r>
        <w:rPr>
          <w:rFonts w:hint="eastAsia" w:ascii="仿宋_GB2312" w:eastAsia="仿宋_GB2312"/>
          <w:sz w:val="32"/>
          <w:szCs w:val="32"/>
          <w:highlight w:val="none"/>
          <w:lang w:eastAsia="zh-CN"/>
        </w:rPr>
        <w:t>2023</w:t>
      </w:r>
      <w:r>
        <w:rPr>
          <w:rFonts w:hint="eastAsia" w:ascii="仿宋_GB2312" w:eastAsia="仿宋_GB2312"/>
          <w:sz w:val="32"/>
          <w:szCs w:val="32"/>
          <w:highlight w:val="none"/>
        </w:rPr>
        <w:t>年预算未安排购置单位价值100万元以上专用设备</w:t>
      </w:r>
      <w:r>
        <w:rPr>
          <w:rFonts w:hint="eastAsia" w:ascii="仿宋_GB2312" w:eastAsia="仿宋_GB2312"/>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eastAsia="黑体"/>
          <w:sz w:val="32"/>
          <w:szCs w:val="32"/>
          <w:highlight w:val="none"/>
          <w:lang w:val="en-US" w:eastAsia="zh-CN"/>
        </w:rPr>
      </w:pPr>
      <w:r>
        <w:rPr>
          <w:rFonts w:hint="eastAsia" w:ascii="黑体" w:eastAsia="黑体"/>
          <w:sz w:val="32"/>
          <w:szCs w:val="32"/>
          <w:highlight w:val="none"/>
          <w:lang w:val="en-US" w:eastAsia="zh-CN"/>
        </w:rPr>
        <w:t>六、绩效目标情况说明</w:t>
      </w:r>
    </w:p>
    <w:p>
      <w:pPr>
        <w:keepNext w:val="0"/>
        <w:keepLines w:val="0"/>
        <w:pageBreakBefore w:val="0"/>
        <w:widowControl w:val="0"/>
        <w:kinsoku/>
        <w:wordWrap/>
        <w:overflowPunct/>
        <w:topLinePunct w:val="0"/>
        <w:autoSpaceDE/>
        <w:autoSpaceDN/>
        <w:bidi w:val="0"/>
        <w:adjustRightInd/>
        <w:snapToGrid/>
        <w:spacing w:line="600" w:lineRule="exact"/>
        <w:ind w:firstLine="600"/>
        <w:textAlignment w:val="auto"/>
        <w:rPr>
          <w:rFonts w:ascii="楷体_GB2312" w:eastAsia="楷体_GB2312"/>
          <w:sz w:val="32"/>
          <w:szCs w:val="32"/>
          <w:highlight w:val="none"/>
        </w:rPr>
      </w:pPr>
      <w:r>
        <w:rPr>
          <w:rFonts w:hint="eastAsia" w:ascii="楷体_GB2312" w:eastAsia="楷体_GB2312"/>
          <w:sz w:val="32"/>
          <w:szCs w:val="32"/>
          <w:highlight w:val="none"/>
        </w:rPr>
        <w:t>（</w:t>
      </w:r>
      <w:r>
        <w:rPr>
          <w:rFonts w:hint="eastAsia" w:ascii="楷体_GB2312" w:eastAsia="楷体_GB2312"/>
          <w:sz w:val="32"/>
          <w:szCs w:val="32"/>
          <w:highlight w:val="none"/>
          <w:lang w:val="en-US" w:eastAsia="zh-CN"/>
        </w:rPr>
        <w:t>一</w:t>
      </w:r>
      <w:r>
        <w:rPr>
          <w:rFonts w:hint="eastAsia" w:ascii="楷体_GB2312" w:eastAsia="楷体_GB2312"/>
          <w:sz w:val="32"/>
          <w:szCs w:val="32"/>
          <w:highlight w:val="none"/>
        </w:rPr>
        <w:t>）预算绩效管理情况</w:t>
      </w:r>
    </w:p>
    <w:p>
      <w:pPr>
        <w:keepNext w:val="0"/>
        <w:keepLines w:val="0"/>
        <w:pageBreakBefore w:val="0"/>
        <w:widowControl w:val="0"/>
        <w:kinsoku/>
        <w:wordWrap/>
        <w:overflowPunct/>
        <w:topLinePunct w:val="0"/>
        <w:autoSpaceDE/>
        <w:autoSpaceDN/>
        <w:bidi w:val="0"/>
        <w:adjustRightInd/>
        <w:snapToGrid/>
        <w:spacing w:line="600" w:lineRule="exact"/>
        <w:ind w:left="200" w:firstLine="640"/>
        <w:textAlignment w:val="auto"/>
        <w:rPr>
          <w:rFonts w:hint="eastAsia" w:ascii="仿宋_GB2312" w:eastAsia="仿宋_GB2312"/>
          <w:sz w:val="32"/>
          <w:szCs w:val="32"/>
          <w:highlight w:val="none"/>
        </w:rPr>
      </w:pPr>
      <w:r>
        <w:rPr>
          <w:rFonts w:hint="eastAsia" w:ascii="仿宋_GB2312" w:eastAsia="仿宋_GB2312"/>
          <w:sz w:val="32"/>
          <w:szCs w:val="32"/>
          <w:highlight w:val="none"/>
          <w:lang w:eastAsia="zh-CN"/>
        </w:rPr>
        <w:t>中国共产党威海市委员会统一战线工作部</w:t>
      </w:r>
      <w:r>
        <w:rPr>
          <w:rFonts w:hint="eastAsia" w:ascii="仿宋_GB2312" w:eastAsia="仿宋_GB2312"/>
          <w:sz w:val="32"/>
          <w:szCs w:val="32"/>
          <w:highlight w:val="none"/>
        </w:rPr>
        <w:t>202</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年项目支出全面实施绩效目标管理，涉及预算项目支出</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个，预算资金</w:t>
      </w:r>
      <w:r>
        <w:rPr>
          <w:rFonts w:hint="eastAsia" w:ascii="仿宋_GB2312" w:eastAsia="仿宋_GB2312"/>
          <w:sz w:val="32"/>
          <w:szCs w:val="32"/>
          <w:highlight w:val="none"/>
          <w:lang w:val="en-US" w:eastAsia="zh-CN"/>
        </w:rPr>
        <w:t>102</w:t>
      </w:r>
      <w:r>
        <w:rPr>
          <w:rFonts w:hint="eastAsia" w:ascii="仿宋_GB2312" w:eastAsia="仿宋_GB2312"/>
          <w:sz w:val="32"/>
          <w:szCs w:val="32"/>
          <w:highlight w:val="none"/>
        </w:rPr>
        <w:t>万元，其中财政拨款</w:t>
      </w:r>
      <w:r>
        <w:rPr>
          <w:rFonts w:hint="eastAsia" w:ascii="仿宋_GB2312" w:eastAsia="仿宋_GB2312"/>
          <w:sz w:val="32"/>
          <w:szCs w:val="32"/>
          <w:highlight w:val="none"/>
          <w:lang w:val="en-US" w:eastAsia="zh-CN"/>
        </w:rPr>
        <w:t>102</w:t>
      </w:r>
      <w:r>
        <w:rPr>
          <w:rFonts w:hint="eastAsia" w:ascii="仿宋_GB2312" w:eastAsia="仿宋_GB2312"/>
          <w:sz w:val="32"/>
          <w:szCs w:val="32"/>
          <w:highlight w:val="none"/>
        </w:rPr>
        <w:t>万元。拟对</w:t>
      </w:r>
      <w:r>
        <w:rPr>
          <w:rFonts w:hint="eastAsia" w:ascii="仿宋_GB2312" w:eastAsia="仿宋_GB2312"/>
          <w:sz w:val="32"/>
          <w:szCs w:val="32"/>
          <w:highlight w:val="none"/>
          <w:lang w:eastAsia="zh-CN"/>
        </w:rPr>
        <w:t>调研经费、留学人员统战工作经费</w:t>
      </w:r>
      <w:r>
        <w:rPr>
          <w:rFonts w:hint="eastAsia" w:ascii="仿宋_GB2312" w:eastAsia="仿宋_GB2312"/>
          <w:sz w:val="32"/>
          <w:szCs w:val="32"/>
          <w:highlight w:val="none"/>
        </w:rPr>
        <w:t>等</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个项目开展部门重点绩效评价，涉及预算资金</w:t>
      </w:r>
      <w:r>
        <w:rPr>
          <w:rFonts w:hint="eastAsia" w:ascii="仿宋_GB2312" w:eastAsia="仿宋_GB2312"/>
          <w:sz w:val="32"/>
          <w:szCs w:val="32"/>
          <w:highlight w:val="none"/>
          <w:lang w:val="en-US" w:eastAsia="zh-CN"/>
        </w:rPr>
        <w:t>102</w:t>
      </w:r>
      <w:r>
        <w:rPr>
          <w:rFonts w:hint="eastAsia" w:ascii="仿宋_GB2312" w:eastAsia="仿宋_GB2312"/>
          <w:sz w:val="32"/>
          <w:szCs w:val="32"/>
          <w:highlight w:val="none"/>
        </w:rPr>
        <w:t>万元，其中财政拨款</w:t>
      </w:r>
      <w:r>
        <w:rPr>
          <w:rFonts w:hint="eastAsia" w:ascii="仿宋_GB2312" w:eastAsia="仿宋_GB2312"/>
          <w:sz w:val="32"/>
          <w:szCs w:val="32"/>
          <w:highlight w:val="none"/>
          <w:lang w:val="en-US" w:eastAsia="zh-CN"/>
        </w:rPr>
        <w:t>102</w:t>
      </w:r>
      <w:r>
        <w:rPr>
          <w:rFonts w:hint="eastAsia" w:ascii="仿宋_GB2312" w:eastAsia="仿宋_GB2312"/>
          <w:sz w:val="32"/>
          <w:szCs w:val="32"/>
          <w:highlight w:val="none"/>
        </w:rPr>
        <w:t>万元。根据以前年度绩效评价结果，优化</w:t>
      </w:r>
      <w:r>
        <w:rPr>
          <w:rFonts w:hint="eastAsia" w:ascii="仿宋_GB2312" w:eastAsia="仿宋_GB2312"/>
          <w:sz w:val="32"/>
          <w:szCs w:val="32"/>
          <w:highlight w:val="none"/>
          <w:lang w:eastAsia="zh-CN"/>
        </w:rPr>
        <w:t>调研经费、留学人员统战工作经费</w:t>
      </w:r>
      <w:r>
        <w:rPr>
          <w:rFonts w:hint="eastAsia" w:ascii="仿宋_GB2312" w:eastAsia="仿宋_GB2312"/>
          <w:sz w:val="32"/>
          <w:szCs w:val="32"/>
          <w:highlight w:val="none"/>
        </w:rPr>
        <w:t>等项目支出202</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年预算安排，进一步改进管理、完善政策。</w:t>
      </w:r>
    </w:p>
    <w:p>
      <w:pPr>
        <w:pStyle w:val="12"/>
        <w:spacing w:line="580" w:lineRule="atLeast"/>
        <w:ind w:firstLine="640"/>
        <w:rPr>
          <w:rFonts w:hint="eastAsia" w:ascii="楷体_GB2312" w:eastAsia="楷体_GB2312"/>
          <w:sz w:val="32"/>
          <w:szCs w:val="32"/>
          <w:highlight w:val="none"/>
        </w:rPr>
      </w:pPr>
      <w:r>
        <w:rPr>
          <w:rFonts w:hint="eastAsia" w:ascii="楷体_GB2312" w:eastAsia="楷体_GB2312"/>
          <w:sz w:val="32"/>
          <w:szCs w:val="32"/>
          <w:highlight w:val="none"/>
        </w:rPr>
        <w:t>（</w:t>
      </w:r>
      <w:r>
        <w:rPr>
          <w:rFonts w:hint="eastAsia" w:ascii="楷体_GB2312" w:eastAsia="楷体_GB2312"/>
          <w:sz w:val="32"/>
          <w:szCs w:val="32"/>
          <w:highlight w:val="none"/>
          <w:lang w:val="en-US" w:eastAsia="zh-CN"/>
        </w:rPr>
        <w:t>二</w:t>
      </w:r>
      <w:r>
        <w:rPr>
          <w:rFonts w:hint="eastAsia" w:ascii="楷体_GB2312" w:eastAsia="楷体_GB2312"/>
          <w:sz w:val="32"/>
          <w:szCs w:val="32"/>
          <w:highlight w:val="none"/>
        </w:rPr>
        <w:t>）部门主管专项资金的绩效管理情况</w:t>
      </w:r>
    </w:p>
    <w:p>
      <w:pPr>
        <w:keepNext w:val="0"/>
        <w:keepLines w:val="0"/>
        <w:pageBreakBefore w:val="0"/>
        <w:widowControl w:val="0"/>
        <w:kinsoku/>
        <w:wordWrap/>
        <w:overflowPunct/>
        <w:topLinePunct w:val="0"/>
        <w:autoSpaceDE/>
        <w:autoSpaceDN/>
        <w:bidi w:val="0"/>
        <w:adjustRightInd/>
        <w:snapToGrid/>
        <w:spacing w:line="600" w:lineRule="exact"/>
        <w:ind w:left="200" w:firstLine="640"/>
        <w:textAlignment w:val="auto"/>
        <w:rPr>
          <w:rFonts w:hint="eastAsia" w:ascii="仿宋_GB2312" w:eastAsia="仿宋_GB2312"/>
          <w:sz w:val="32"/>
          <w:szCs w:val="32"/>
          <w:highlight w:val="none"/>
        </w:rPr>
      </w:pPr>
      <w:r>
        <w:rPr>
          <w:rFonts w:hint="eastAsia" w:ascii="仿宋_GB2312" w:eastAsia="仿宋_GB2312"/>
          <w:sz w:val="32"/>
          <w:szCs w:val="32"/>
          <w:highlight w:val="none"/>
          <w:lang w:eastAsia="zh-CN"/>
        </w:rPr>
        <w:t>中国共产党威海市委员会统一战线工作部无部门主管专项资金项目，按规定不涉及绩效目标设置公开事项。</w:t>
      </w:r>
    </w:p>
    <w:p>
      <w:pPr>
        <w:pStyle w:val="12"/>
        <w:spacing w:line="580" w:lineRule="atLeast"/>
        <w:ind w:firstLine="640"/>
        <w:rPr>
          <w:rFonts w:ascii="仿宋_GB2312" w:eastAsia="仿宋_GB2312"/>
          <w:b/>
          <w:bCs/>
          <w:sz w:val="32"/>
          <w:szCs w:val="32"/>
          <w:highlight w:val="none"/>
        </w:rPr>
      </w:pPr>
      <w:r>
        <w:rPr>
          <w:rFonts w:ascii="仿宋_GB2312" w:eastAsia="仿宋_GB2312"/>
          <w:sz w:val="32"/>
          <w:szCs w:val="32"/>
          <w:highlight w:val="none"/>
        </w:rPr>
        <w:br w:type="page"/>
      </w:r>
    </w:p>
    <w:p>
      <w:pPr>
        <w:pStyle w:val="12"/>
        <w:spacing w:line="580" w:lineRule="atLeast"/>
        <w:ind w:firstLine="640"/>
        <w:rPr>
          <w:rFonts w:ascii="仿宋_GB2312" w:eastAsia="仿宋_GB2312"/>
          <w:b/>
          <w:bCs/>
          <w:sz w:val="32"/>
          <w:szCs w:val="32"/>
          <w:highlight w:val="none"/>
        </w:rPr>
        <w:sectPr>
          <w:pgSz w:w="11906" w:h="16838"/>
          <w:pgMar w:top="1440" w:right="1803" w:bottom="1440" w:left="1803" w:header="851" w:footer="992" w:gutter="0"/>
          <w:cols w:space="0" w:num="1"/>
          <w:docGrid w:type="lines" w:linePitch="319" w:charSpace="0"/>
        </w:sectPr>
      </w:pPr>
    </w:p>
    <w:p>
      <w:pPr>
        <w:numPr>
          <w:ilvl w:val="0"/>
          <w:numId w:val="2"/>
        </w:numPr>
        <w:spacing w:line="600" w:lineRule="exact"/>
        <w:ind w:left="0" w:leftChars="0" w:firstLine="640" w:firstLineChars="200"/>
        <w:rPr>
          <w:rFonts w:hint="eastAsia" w:ascii="楷体_GB2312" w:eastAsia="楷体_GB2312"/>
          <w:sz w:val="32"/>
          <w:szCs w:val="32"/>
          <w:highlight w:val="none"/>
        </w:rPr>
      </w:pPr>
      <w:r>
        <w:rPr>
          <w:rFonts w:hint="eastAsia" w:ascii="楷体_GB2312" w:eastAsia="楷体_GB2312"/>
          <w:sz w:val="32"/>
          <w:szCs w:val="32"/>
          <w:highlight w:val="none"/>
        </w:rPr>
        <w:t>部门预算项目绩效目标表</w:t>
      </w:r>
    </w:p>
    <w:p>
      <w:pPr>
        <w:numPr>
          <w:numId w:val="0"/>
        </w:numPr>
        <w:spacing w:line="600" w:lineRule="exact"/>
        <w:rPr>
          <w:rFonts w:hint="eastAsia" w:ascii="楷体_GB2312" w:eastAsia="楷体_GB2312"/>
          <w:sz w:val="32"/>
          <w:szCs w:val="32"/>
          <w:highlight w:val="none"/>
        </w:rPr>
      </w:pPr>
      <w:bookmarkStart w:id="3" w:name="_GoBack"/>
      <w:bookmarkEnd w:id="3"/>
    </w:p>
    <w:tbl>
      <w:tblPr>
        <w:tblStyle w:val="8"/>
        <w:tblW w:w="865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80"/>
        <w:gridCol w:w="1270"/>
        <w:gridCol w:w="1446"/>
        <w:gridCol w:w="2053"/>
        <w:gridCol w:w="1455"/>
        <w:gridCol w:w="13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jc w:val="center"/>
        </w:trPr>
        <w:tc>
          <w:tcPr>
            <w:tcW w:w="8652" w:type="dxa"/>
            <w:gridSpan w:val="6"/>
            <w:tcBorders>
              <w:top w:val="nil"/>
              <w:left w:val="nil"/>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lang w:eastAsia="zh-CN"/>
              </w:rPr>
            </w:pPr>
            <w:r>
              <w:rPr>
                <w:rFonts w:hint="eastAsia" w:ascii="宋体" w:hAnsi="宋体" w:cs="宋体"/>
                <w:i w:val="0"/>
                <w:iCs w:val="0"/>
                <w:color w:val="000000"/>
                <w:sz w:val="32"/>
                <w:szCs w:val="32"/>
                <w:highlight w:val="none"/>
                <w:u w:val="none"/>
                <w:lang w:eastAsia="zh-CN"/>
              </w:rPr>
              <w:t>项目支出绩效目标表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项目名称</w:t>
            </w:r>
          </w:p>
        </w:tc>
        <w:tc>
          <w:tcPr>
            <w:tcW w:w="48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lang w:eastAsia="zh-CN"/>
              </w:rPr>
            </w:pPr>
            <w:r>
              <w:rPr>
                <w:rFonts w:hint="eastAsia" w:ascii="宋体" w:hAnsi="宋体" w:cs="宋体"/>
                <w:i w:val="0"/>
                <w:iCs w:val="0"/>
                <w:color w:val="000000"/>
                <w:sz w:val="21"/>
                <w:szCs w:val="21"/>
                <w:highlight w:val="none"/>
                <w:u w:val="none"/>
                <w:lang w:eastAsia="zh-CN"/>
              </w:rPr>
              <w:t>调研经费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主管部门</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lang w:eastAsia="zh-CN"/>
              </w:rPr>
            </w:pPr>
            <w:r>
              <w:rPr>
                <w:rFonts w:hint="eastAsia" w:ascii="宋体" w:hAnsi="宋体" w:cs="宋体"/>
                <w:i w:val="0"/>
                <w:iCs w:val="0"/>
                <w:color w:val="000000"/>
                <w:sz w:val="21"/>
                <w:szCs w:val="21"/>
                <w:highlight w:val="none"/>
                <w:u w:val="none"/>
                <w:lang w:eastAsia="zh-CN"/>
              </w:rPr>
              <w:t>中国共产党威海市委员会统一战线工作部</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实施单位</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lang w:eastAsia="zh-CN"/>
              </w:rPr>
            </w:pPr>
            <w:r>
              <w:rPr>
                <w:rFonts w:hint="eastAsia" w:ascii="宋体" w:hAnsi="宋体" w:cs="宋体"/>
                <w:i w:val="0"/>
                <w:iCs w:val="0"/>
                <w:color w:val="000000"/>
                <w:sz w:val="21"/>
                <w:szCs w:val="21"/>
                <w:highlight w:val="none"/>
                <w:u w:val="none"/>
                <w:lang w:eastAsia="zh-CN"/>
              </w:rPr>
              <w:t>中国共产党威海市委员会统一战线工作部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项目资金</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（万元）</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年度预算资金总额：</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default" w:ascii="宋体" w:hAnsi="宋体" w:eastAsia="宋体" w:cs="宋体"/>
                <w:i w:val="0"/>
                <w:iCs w:val="0"/>
                <w:color w:val="000000"/>
                <w:sz w:val="21"/>
                <w:szCs w:val="21"/>
                <w:highlight w:val="none"/>
                <w:u w:val="none"/>
                <w:lang w:val="en-US" w:eastAsia="zh-CN"/>
              </w:rPr>
            </w:pPr>
            <w:r>
              <w:rPr>
                <w:rFonts w:hint="eastAsia" w:ascii="宋体" w:hAnsi="宋体" w:cs="宋体"/>
                <w:i w:val="0"/>
                <w:iCs w:val="0"/>
                <w:color w:val="000000"/>
                <w:sz w:val="21"/>
                <w:szCs w:val="21"/>
                <w:highlight w:val="none"/>
                <w:u w:val="none"/>
                <w:lang w:val="en-US" w:eastAsia="zh-CN"/>
              </w:rPr>
              <w:t>52万元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其中：财政拨款</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default" w:ascii="宋体" w:hAnsi="宋体" w:eastAsia="宋体" w:cs="宋体"/>
                <w:i w:val="0"/>
                <w:iCs w:val="0"/>
                <w:color w:val="000000"/>
                <w:sz w:val="21"/>
                <w:szCs w:val="21"/>
                <w:highlight w:val="none"/>
                <w:u w:val="none"/>
                <w:lang w:val="en-US" w:eastAsia="zh-CN"/>
              </w:rPr>
            </w:pPr>
            <w:r>
              <w:rPr>
                <w:rFonts w:hint="eastAsia" w:ascii="宋体" w:hAnsi="宋体" w:cs="宋体"/>
                <w:i w:val="0"/>
                <w:iCs w:val="0"/>
                <w:color w:val="000000"/>
                <w:sz w:val="21"/>
                <w:szCs w:val="21"/>
                <w:highlight w:val="none"/>
                <w:u w:val="none"/>
                <w:lang w:val="en-US" w:eastAsia="zh-CN"/>
              </w:rPr>
              <w:t>52万元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其他资金</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3" w:hRule="atLeast"/>
          <w:jc w:val="center"/>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年度总体绩效目标</w:t>
            </w:r>
          </w:p>
        </w:tc>
        <w:tc>
          <w:tcPr>
            <w:tcW w:w="757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top"/>
              <w:outlineLvl w:val="9"/>
              <w:rPr>
                <w:rFonts w:hint="eastAsia" w:ascii="宋体" w:hAnsi="宋体" w:eastAsia="宋体" w:cs="宋体"/>
                <w:i w:val="0"/>
                <w:iCs w:val="0"/>
                <w:color w:val="000000"/>
                <w:sz w:val="21"/>
                <w:szCs w:val="21"/>
                <w:highlight w:val="none"/>
                <w:u w:val="none"/>
              </w:rPr>
            </w:pPr>
            <w:r>
              <w:rPr>
                <w:rFonts w:hint="eastAsia" w:ascii="宋体" w:hAnsi="宋体" w:cs="宋体"/>
                <w:color w:val="000000"/>
                <w:sz w:val="20"/>
                <w:szCs w:val="20"/>
                <w:highlight w:val="none"/>
              </w:rPr>
              <w:t>发挥民主党派参政议政和民主监督作用</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及时联系各民主党派和无党派人士，通报有关情况，听取意见建议</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加强党外后备干部和新的代表人物队伍的建设</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负责党外人士的政治安排和社会安排，会同有关部门培养、选拔、推荐党外人士担任领导职务</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开展海内外统一战线宣传工作</w:t>
            </w:r>
            <w:r>
              <w:rPr>
                <w:rFonts w:hint="eastAsia" w:ascii="宋体" w:hAnsi="宋体" w:cs="宋体"/>
                <w:color w:val="000000"/>
                <w:sz w:val="20"/>
                <w:szCs w:val="20"/>
                <w:highlight w:val="none"/>
                <w:lang w:eastAsia="zh-CN"/>
              </w:rPr>
              <w:t>，</w:t>
            </w:r>
            <w:r>
              <w:rPr>
                <w:rFonts w:hint="eastAsia" w:ascii="宋体" w:hAnsi="宋体" w:cs="宋体"/>
                <w:color w:val="000000"/>
                <w:sz w:val="20"/>
                <w:szCs w:val="20"/>
                <w:highlight w:val="none"/>
              </w:rPr>
              <w:t>加强与海内外工商界社团和代表人士及海外侨胞、台胞，开展以祖国统一为重点的统战工作</w:t>
            </w:r>
            <w:r>
              <w:rPr>
                <w:rFonts w:hint="eastAsia" w:ascii="宋体" w:hAnsi="宋体" w:cs="宋体"/>
                <w:color w:val="000000"/>
                <w:sz w:val="20"/>
                <w:szCs w:val="20"/>
                <w:highlight w:val="none"/>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绩</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效</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指</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标</w:t>
            </w:r>
          </w:p>
        </w:tc>
        <w:tc>
          <w:tcPr>
            <w:tcW w:w="127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一级指标</w:t>
            </w:r>
          </w:p>
        </w:tc>
        <w:tc>
          <w:tcPr>
            <w:tcW w:w="1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二级指标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三级指标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成本指标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经济成本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专款专用率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社会成本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生态环境</w:t>
            </w:r>
          </w:p>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val="en-US"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kern w:val="0"/>
                <w:sz w:val="20"/>
                <w:szCs w:val="20"/>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产出指标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数量指标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val="en-US" w:eastAsia="zh-CN"/>
              </w:rPr>
            </w:pPr>
            <w:r>
              <w:rPr>
                <w:rFonts w:hint="eastAsia" w:ascii="宋体" w:hAnsi="宋体"/>
                <w:kern w:val="0"/>
                <w:sz w:val="20"/>
                <w:szCs w:val="20"/>
                <w:lang w:val="en-US" w:eastAsia="zh-CN"/>
              </w:rPr>
              <w:t>民主党派人士调研次数</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val="en-US" w:eastAsia="zh-CN"/>
              </w:rPr>
            </w:pPr>
            <w:r>
              <w:rPr>
                <w:rFonts w:hint="default" w:ascii="宋体" w:hAnsi="宋体"/>
                <w:kern w:val="0"/>
                <w:sz w:val="20"/>
                <w:szCs w:val="20"/>
                <w:lang w:val="en-US" w:eastAsia="zh-CN"/>
              </w:rPr>
              <w:t>≥</w:t>
            </w:r>
            <w:r>
              <w:rPr>
                <w:rFonts w:hint="eastAsia" w:ascii="宋体" w:hAnsi="宋体"/>
                <w:kern w:val="0"/>
                <w:sz w:val="20"/>
                <w:szCs w:val="20"/>
                <w:lang w:val="en-US" w:eastAsia="zh-CN"/>
              </w:rPr>
              <w:t>3次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质量指标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民主党派人士参与调研率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default" w:ascii="宋体" w:hAnsi="宋体"/>
                <w:kern w:val="0"/>
                <w:sz w:val="20"/>
                <w:szCs w:val="20"/>
                <w:lang w:eastAsia="zh-CN"/>
              </w:rPr>
              <w:t>≥</w:t>
            </w:r>
            <w:r>
              <w:rPr>
                <w:rFonts w:hint="eastAsia" w:ascii="宋体" w:hAnsi="宋体"/>
                <w:kern w:val="0"/>
                <w:sz w:val="20"/>
                <w:szCs w:val="20"/>
                <w:lang w:val="en-US" w:eastAsia="zh-CN"/>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时效指标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调研反馈及时率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效益指标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经济效益</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社会效益</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民主党派开展下乡活动次数</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default" w:ascii="宋体" w:hAnsi="宋体"/>
                <w:kern w:val="0"/>
                <w:sz w:val="20"/>
                <w:szCs w:val="20"/>
                <w:lang w:val="en-US" w:eastAsia="zh-CN"/>
              </w:rPr>
              <w:t>≥</w:t>
            </w:r>
            <w:r>
              <w:rPr>
                <w:rFonts w:hint="eastAsia" w:ascii="宋体" w:hAnsi="宋体"/>
                <w:kern w:val="0"/>
                <w:sz w:val="20"/>
                <w:szCs w:val="20"/>
                <w:lang w:val="en-US" w:eastAsia="zh-CN"/>
              </w:rPr>
              <w:t>3次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cs="宋体"/>
                <w:i w:val="0"/>
                <w:iCs w:val="0"/>
                <w:color w:val="000000"/>
                <w:kern w:val="0"/>
                <w:sz w:val="21"/>
                <w:szCs w:val="21"/>
                <w:highlight w:val="none"/>
                <w:u w:val="none"/>
                <w:lang w:val="en-US" w:eastAsia="zh-CN" w:bidi="ar"/>
              </w:rPr>
              <w:t>可持续发展影响指标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长效管理机制健全性</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健全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满意度指标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服务对象</w:t>
            </w:r>
            <w:r>
              <w:rPr>
                <w:rFonts w:hint="eastAsia" w:ascii="宋体" w:hAnsi="宋体" w:eastAsia="宋体" w:cs="宋体"/>
                <w:i w:val="0"/>
                <w:iCs w:val="0"/>
                <w:color w:val="000000"/>
                <w:kern w:val="0"/>
                <w:sz w:val="21"/>
                <w:szCs w:val="21"/>
                <w:highlight w:val="none"/>
                <w:u w:val="none"/>
                <w:lang w:val="en-US" w:eastAsia="zh-CN" w:bidi="ar"/>
              </w:rPr>
              <w:br w:type="textWrapping"/>
            </w:r>
            <w:r>
              <w:rPr>
                <w:rFonts w:hint="eastAsia" w:ascii="宋体" w:hAnsi="宋体" w:eastAsia="宋体" w:cs="宋体"/>
                <w:i w:val="0"/>
                <w:iCs w:val="0"/>
                <w:color w:val="000000"/>
                <w:kern w:val="0"/>
                <w:sz w:val="21"/>
                <w:szCs w:val="21"/>
                <w:highlight w:val="none"/>
                <w:u w:val="none"/>
                <w:lang w:val="en-US" w:eastAsia="zh-CN" w:bidi="ar"/>
              </w:rPr>
              <w:t>满意度指标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eastAsia" w:ascii="宋体" w:hAnsi="宋体"/>
                <w:kern w:val="0"/>
                <w:sz w:val="20"/>
                <w:szCs w:val="20"/>
                <w:lang w:eastAsia="zh-CN"/>
              </w:rPr>
              <w:t>活动参与者满意度</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kern w:val="0"/>
                <w:sz w:val="20"/>
                <w:szCs w:val="20"/>
                <w:lang w:eastAsia="zh-CN"/>
              </w:rPr>
            </w:pPr>
            <w:r>
              <w:rPr>
                <w:rFonts w:hint="default" w:ascii="宋体" w:hAnsi="宋体"/>
                <w:kern w:val="0"/>
                <w:sz w:val="20"/>
                <w:szCs w:val="20"/>
                <w:lang w:eastAsia="zh-CN"/>
              </w:rPr>
              <w:t>≥</w:t>
            </w:r>
            <w:r>
              <w:rPr>
                <w:rFonts w:hint="eastAsia" w:ascii="宋体" w:hAnsi="宋体"/>
                <w:kern w:val="0"/>
                <w:sz w:val="20"/>
                <w:szCs w:val="20"/>
                <w:lang w:val="en-US" w:eastAsia="zh-CN"/>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highlight w:val="none"/>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3" w:hRule="atLeast"/>
          <w:jc w:val="center"/>
        </w:trPr>
        <w:tc>
          <w:tcPr>
            <w:tcW w:w="8652" w:type="dxa"/>
            <w:gridSpan w:val="6"/>
            <w:tcBorders>
              <w:top w:val="nil"/>
              <w:left w:val="nil"/>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lang w:eastAsia="zh-CN"/>
              </w:rPr>
            </w:pPr>
            <w:r>
              <w:rPr>
                <w:rFonts w:hint="eastAsia" w:ascii="宋体" w:hAnsi="宋体" w:cs="宋体"/>
                <w:i w:val="0"/>
                <w:iCs w:val="0"/>
                <w:color w:val="000000"/>
                <w:sz w:val="32"/>
                <w:szCs w:val="32"/>
                <w:u w:val="none"/>
                <w:lang w:eastAsia="zh-CN"/>
              </w:rPr>
              <w:t>项目支出绩效目标表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48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lang w:eastAsia="zh-CN"/>
              </w:rPr>
            </w:pPr>
            <w:r>
              <w:rPr>
                <w:rFonts w:hint="eastAsia" w:ascii="宋体" w:hAnsi="宋体" w:eastAsia="宋体" w:cs="宋体"/>
                <w:i w:val="0"/>
                <w:iCs w:val="0"/>
                <w:color w:val="000000"/>
                <w:kern w:val="0"/>
                <w:sz w:val="21"/>
                <w:szCs w:val="21"/>
                <w:u w:val="none"/>
                <w:lang w:val="en-US" w:eastAsia="zh-CN" w:bidi="ar"/>
              </w:rPr>
              <w:t>留学人员统战工作经费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lang w:eastAsia="zh-CN"/>
              </w:rPr>
            </w:pPr>
            <w:r>
              <w:rPr>
                <w:rFonts w:hint="eastAsia" w:ascii="宋体" w:hAnsi="宋体" w:cs="宋体"/>
                <w:i w:val="0"/>
                <w:iCs w:val="0"/>
                <w:color w:val="000000"/>
                <w:sz w:val="21"/>
                <w:szCs w:val="21"/>
                <w:u w:val="none"/>
                <w:lang w:eastAsia="zh-CN"/>
              </w:rPr>
              <w:t>中国共产党威海市委员会统一战线工作部</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lang w:eastAsia="zh-CN"/>
              </w:rPr>
            </w:pPr>
            <w:r>
              <w:rPr>
                <w:rFonts w:hint="eastAsia" w:ascii="宋体" w:hAnsi="宋体" w:cs="宋体"/>
                <w:i w:val="0"/>
                <w:iCs w:val="0"/>
                <w:color w:val="000000"/>
                <w:sz w:val="21"/>
                <w:szCs w:val="21"/>
                <w:u w:val="none"/>
                <w:lang w:eastAsia="zh-CN"/>
              </w:rPr>
              <w:t>威海市欧美同学会秘书处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（万元）</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年度预算资金总额：</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default" w:ascii="宋体" w:hAnsi="宋体" w:eastAsia="宋体" w:cs="宋体"/>
                <w:i w:val="0"/>
                <w:iCs w:val="0"/>
                <w:color w:val="000000"/>
                <w:sz w:val="21"/>
                <w:szCs w:val="21"/>
                <w:u w:val="none"/>
                <w:lang w:val="en-US" w:eastAsia="zh-CN"/>
              </w:rPr>
            </w:pPr>
            <w:r>
              <w:rPr>
                <w:rFonts w:hint="eastAsia" w:ascii="宋体" w:hAnsi="宋体" w:cs="宋体"/>
                <w:i w:val="0"/>
                <w:iCs w:val="0"/>
                <w:color w:val="000000"/>
                <w:sz w:val="21"/>
                <w:szCs w:val="21"/>
                <w:u w:val="none"/>
                <w:lang w:val="en-US" w:eastAsia="zh-CN"/>
              </w:rPr>
              <w:t>50万元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其中：财政拨款</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default" w:ascii="宋体" w:hAnsi="宋体" w:eastAsia="宋体" w:cs="宋体"/>
                <w:i w:val="0"/>
                <w:iCs w:val="0"/>
                <w:color w:val="000000"/>
                <w:sz w:val="21"/>
                <w:szCs w:val="21"/>
                <w:u w:val="none"/>
                <w:lang w:val="en-US" w:eastAsia="zh-CN"/>
              </w:rPr>
            </w:pPr>
            <w:r>
              <w:rPr>
                <w:rFonts w:hint="eastAsia" w:ascii="宋体" w:hAnsi="宋体" w:cs="宋体"/>
                <w:i w:val="0"/>
                <w:iCs w:val="0"/>
                <w:color w:val="000000"/>
                <w:sz w:val="21"/>
                <w:szCs w:val="21"/>
                <w:u w:val="none"/>
                <w:lang w:val="en-US" w:eastAsia="zh-CN"/>
              </w:rPr>
              <w:t>50万元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37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其他资金</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3" w:hRule="atLeast"/>
          <w:jc w:val="center"/>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年度总体绩效目标</w:t>
            </w:r>
          </w:p>
        </w:tc>
        <w:tc>
          <w:tcPr>
            <w:tcW w:w="7572" w:type="dxa"/>
            <w:gridSpan w:val="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top"/>
              <w:outlineLvl w:val="9"/>
              <w:rPr>
                <w:rFonts w:hint="eastAsia" w:ascii="宋体" w:hAnsi="宋体" w:eastAsia="宋体" w:cs="宋体"/>
                <w:i w:val="0"/>
                <w:iCs w:val="0"/>
                <w:color w:val="000000"/>
                <w:sz w:val="21"/>
                <w:szCs w:val="21"/>
                <w:u w:val="none"/>
              </w:rPr>
            </w:pPr>
            <w:r>
              <w:rPr>
                <w:rFonts w:hint="eastAsia" w:asciiTheme="minorEastAsia" w:hAnsiTheme="minorEastAsia" w:eastAsiaTheme="minorEastAsia" w:cstheme="minorEastAsia"/>
                <w:sz w:val="20"/>
                <w:szCs w:val="20"/>
              </w:rPr>
              <w:t>贯彻落实党和政府关于留学人员工作的方针政策；弘扬留学报国的爱国主义精神，推动留学人员报国实践；团结联系留学人员和留学人员团体，开展科技、经济、文化等领域的交流与合作，促进友好往来；做好留学人员代表人士的发现、培养、使用和管理工作，维护会员的合法权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标</w:t>
            </w:r>
          </w:p>
        </w:tc>
        <w:tc>
          <w:tcPr>
            <w:tcW w:w="127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1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专款专用率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default" w:ascii="宋体" w:hAnsi="宋体" w:eastAsia="宋体" w:cs="宋体"/>
                <w:i w:val="0"/>
                <w:iCs w:val="0"/>
                <w:color w:val="000000"/>
                <w:sz w:val="21"/>
                <w:szCs w:val="21"/>
                <w:u w:val="none"/>
                <w:lang w:val="en-US" w:eastAsia="zh-CN"/>
              </w:rPr>
            </w:pPr>
            <w:r>
              <w:rPr>
                <w:rFonts w:hint="eastAsia" w:ascii="Arial" w:hAnsi="Arial" w:cs="Arial"/>
                <w:kern w:val="0"/>
                <w:sz w:val="20"/>
                <w:szCs w:val="20"/>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生态环境</w:t>
            </w:r>
          </w:p>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考察调研次数</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default" w:ascii="Arial" w:hAnsi="Arial" w:cs="Arial"/>
                <w:kern w:val="0"/>
                <w:sz w:val="20"/>
                <w:szCs w:val="20"/>
              </w:rPr>
              <w:t>≥</w:t>
            </w:r>
            <w:r>
              <w:rPr>
                <w:rFonts w:hint="eastAsia" w:ascii="宋体" w:hAnsi="宋体"/>
                <w:kern w:val="0"/>
                <w:sz w:val="20"/>
                <w:szCs w:val="20"/>
                <w:lang w:val="en-US" w:eastAsia="zh-CN"/>
              </w:rPr>
              <w:t>3次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会员调研率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default" w:ascii="Arial" w:hAnsi="Arial" w:cs="Arial"/>
                <w:kern w:val="0"/>
                <w:sz w:val="20"/>
                <w:szCs w:val="20"/>
              </w:rPr>
              <w:t>≥</w:t>
            </w:r>
            <w:r>
              <w:rPr>
                <w:rFonts w:hint="eastAsia" w:ascii="Arial" w:hAnsi="Arial" w:cs="Arial"/>
                <w:kern w:val="0"/>
                <w:sz w:val="20"/>
                <w:szCs w:val="20"/>
                <w:lang w:val="en-US" w:eastAsia="zh-CN"/>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调研报告反馈及时率</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eastAsia" w:ascii="Arial" w:hAnsi="Arial" w:cs="Arial"/>
                <w:kern w:val="0"/>
                <w:sz w:val="20"/>
                <w:szCs w:val="20"/>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经济效益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组织活动次数</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default" w:ascii="Arial" w:hAnsi="Arial" w:cs="Arial"/>
                <w:kern w:val="0"/>
                <w:sz w:val="20"/>
                <w:szCs w:val="20"/>
              </w:rPr>
              <w:t>≥</w:t>
            </w:r>
            <w:r>
              <w:rPr>
                <w:rFonts w:hint="eastAsia" w:ascii="宋体" w:hAnsi="宋体"/>
                <w:kern w:val="0"/>
                <w:sz w:val="20"/>
                <w:szCs w:val="20"/>
                <w:lang w:val="en-US" w:eastAsia="zh-CN"/>
              </w:rPr>
              <w:t>3次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可持续发展影响指标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健全长效管理机制</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lang w:eastAsia="zh-CN"/>
              </w:rPr>
            </w:pPr>
            <w:r>
              <w:rPr>
                <w:rFonts w:hint="eastAsia" w:ascii="Arial" w:hAnsi="Arial" w:cs="Arial"/>
                <w:kern w:val="0"/>
                <w:sz w:val="20"/>
                <w:szCs w:val="20"/>
                <w:lang w:eastAsia="zh-CN"/>
              </w:rPr>
              <w:t>健全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14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center"/>
              <w:textAlignment w:val="center"/>
              <w:outlineLvl w:val="9"/>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满意度指标</w:t>
            </w: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宋体" w:hAnsi="宋体" w:eastAsia="宋体" w:cs="宋体"/>
                <w:i w:val="0"/>
                <w:iCs w:val="0"/>
                <w:color w:val="000000"/>
                <w:sz w:val="21"/>
                <w:szCs w:val="21"/>
                <w:u w:val="none"/>
              </w:rPr>
            </w:pPr>
            <w:r>
              <w:rPr>
                <w:rFonts w:hint="eastAsia" w:ascii="宋体" w:hAnsi="宋体"/>
                <w:kern w:val="0"/>
                <w:sz w:val="20"/>
                <w:szCs w:val="20"/>
                <w:lang w:eastAsia="zh-CN"/>
              </w:rPr>
              <w:t>活动参与者满意度</w:t>
            </w: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i w:val="0"/>
                <w:iCs w:val="0"/>
                <w:color w:val="000000"/>
                <w:sz w:val="21"/>
                <w:szCs w:val="21"/>
                <w:u w:val="none"/>
              </w:rPr>
            </w:pPr>
            <w:r>
              <w:rPr>
                <w:rFonts w:hint="default" w:ascii="Arial" w:hAnsi="Arial" w:cs="Arial"/>
                <w:kern w:val="0"/>
                <w:sz w:val="20"/>
                <w:szCs w:val="20"/>
              </w:rPr>
              <w:t>≥</w:t>
            </w:r>
            <w:r>
              <w:rPr>
                <w:rFonts w:hint="eastAsia" w:ascii="Arial" w:hAnsi="Arial" w:cs="Arial"/>
                <w:kern w:val="0"/>
                <w:sz w:val="20"/>
                <w:szCs w:val="20"/>
                <w:lang w:val="en-US" w:eastAsia="zh-CN"/>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14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c>
          <w:tcPr>
            <w:tcW w:w="2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atLeast"/>
              <w:ind w:left="0" w:leftChars="0" w:right="0" w:rightChars="0" w:firstLine="0" w:firstLineChars="0"/>
              <w:jc w:val="left"/>
              <w:textAlignment w:val="center"/>
              <w:outlineLvl w:val="9"/>
              <w:rPr>
                <w:rFonts w:hint="eastAsia" w:ascii="宋体" w:hAnsi="宋体" w:eastAsia="宋体" w:cs="宋体"/>
                <w:i w:val="0"/>
                <w:iCs w:val="0"/>
                <w:color w:val="000000"/>
                <w:sz w:val="21"/>
                <w:szCs w:val="21"/>
                <w:u w:val="none"/>
              </w:rPr>
            </w:pPr>
          </w:p>
        </w:tc>
        <w:tc>
          <w:tcPr>
            <w:tcW w:w="2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ind w:left="0" w:leftChars="0" w:right="0" w:rightChars="0" w:firstLine="0" w:firstLineChars="0"/>
              <w:jc w:val="center"/>
              <w:outlineLvl w:val="9"/>
              <w:rPr>
                <w:rFonts w:hint="eastAsia" w:ascii="宋体" w:hAnsi="宋体" w:eastAsia="宋体" w:cs="宋体"/>
                <w:i w:val="0"/>
                <w:iCs w:val="0"/>
                <w:color w:val="000000"/>
                <w:sz w:val="21"/>
                <w:szCs w:val="21"/>
                <w:u w:val="none"/>
              </w:rPr>
            </w:pPr>
          </w:p>
        </w:tc>
      </w:tr>
    </w:tbl>
    <w:p>
      <w:pPr>
        <w:keepNext w:val="0"/>
        <w:keepLines w:val="0"/>
        <w:pageBreakBefore w:val="0"/>
        <w:widowControl/>
        <w:kinsoku/>
        <w:wordWrap/>
        <w:overflowPunct/>
        <w:topLinePunct w:val="0"/>
        <w:autoSpaceDE/>
        <w:autoSpaceDN/>
        <w:bidi w:val="0"/>
        <w:adjustRightInd/>
        <w:snapToGrid/>
        <w:spacing w:line="240" w:lineRule="atLeast"/>
        <w:jc w:val="left"/>
        <w:rPr>
          <w:rFonts w:ascii="仿宋_GB2312" w:eastAsia="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eastAsia="黑体"/>
          <w:sz w:val="32"/>
          <w:szCs w:val="32"/>
          <w:highlight w:val="none"/>
          <w:lang w:val="en-US" w:eastAsia="zh-CN"/>
        </w:rPr>
      </w:pPr>
      <w:r>
        <w:rPr>
          <w:rFonts w:hint="eastAsia" w:ascii="黑体" w:eastAsia="黑体"/>
          <w:sz w:val="32"/>
          <w:szCs w:val="32"/>
          <w:highlight w:val="none"/>
          <w:lang w:val="en-US" w:eastAsia="zh-CN"/>
        </w:rPr>
        <w:t>七、特殊事项说明</w:t>
      </w:r>
    </w:p>
    <w:p>
      <w:pPr>
        <w:keepNext w:val="0"/>
        <w:keepLines w:val="0"/>
        <w:pageBreakBefore w:val="0"/>
        <w:widowControl w:val="0"/>
        <w:kinsoku/>
        <w:wordWrap/>
        <w:overflowPunct/>
        <w:topLinePunct w:val="0"/>
        <w:autoSpaceDE/>
        <w:autoSpaceDN/>
        <w:bidi w:val="0"/>
        <w:adjustRightInd/>
        <w:snapToGrid/>
        <w:spacing w:line="600" w:lineRule="exact"/>
        <w:ind w:left="200" w:firstLine="64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 xml:space="preserve">根据国家保密法律法规和有关保密事项范围的规定，部分涉密事项在预算公开中予以剔除。 </w:t>
      </w:r>
    </w:p>
    <w:p>
      <w:pPr>
        <w:spacing w:line="580" w:lineRule="exact"/>
        <w:ind w:firstLine="600"/>
        <w:rPr>
          <w:rFonts w:ascii="仿宋_GB2312" w:eastAsia="仿宋_GB2312"/>
          <w:sz w:val="32"/>
          <w:szCs w:val="32"/>
          <w:highlight w:val="none"/>
        </w:rPr>
      </w:pPr>
    </w:p>
    <w:p>
      <w:pPr>
        <w:rPr>
          <w:rFonts w:ascii="黑体" w:eastAsia="黑体"/>
          <w:b/>
          <w:sz w:val="52"/>
          <w:szCs w:val="52"/>
          <w:highlight w:val="none"/>
        </w:rPr>
      </w:pPr>
      <w:r>
        <w:rPr>
          <w:rFonts w:ascii="黑体" w:eastAsia="黑体"/>
          <w:b/>
          <w:sz w:val="52"/>
          <w:szCs w:val="52"/>
          <w:highlight w:val="none"/>
        </w:rPr>
        <w:br w:type="page"/>
      </w:r>
    </w:p>
    <w:p>
      <w:pPr>
        <w:rPr>
          <w:rFonts w:ascii="黑体" w:eastAsia="黑体"/>
          <w:sz w:val="52"/>
          <w:szCs w:val="52"/>
          <w:highlight w:val="none"/>
        </w:rPr>
      </w:pPr>
      <w:r>
        <w:rPr>
          <w:rFonts w:hint="eastAsia" w:ascii="黑体" w:eastAsia="黑体"/>
          <w:sz w:val="52"/>
          <w:szCs w:val="52"/>
          <w:highlight w:val="none"/>
        </w:rPr>
        <w:t>第四部分</w:t>
      </w: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p>
    <w:p>
      <w:pPr>
        <w:jc w:val="center"/>
        <w:rPr>
          <w:rFonts w:ascii="黑体" w:eastAsia="黑体"/>
          <w:sz w:val="52"/>
          <w:szCs w:val="52"/>
          <w:highlight w:val="none"/>
        </w:rPr>
      </w:pPr>
      <w:r>
        <w:rPr>
          <w:rFonts w:hint="eastAsia" w:ascii="黑体" w:eastAsia="黑体"/>
          <w:sz w:val="52"/>
          <w:szCs w:val="52"/>
          <w:highlight w:val="none"/>
        </w:rPr>
        <w:t>名词解释</w:t>
      </w:r>
    </w:p>
    <w:p>
      <w:pPr>
        <w:rPr>
          <w:rFonts w:ascii="黑体" w:hAnsi="黑体" w:eastAsia="黑体"/>
          <w:sz w:val="32"/>
          <w:szCs w:val="32"/>
          <w:highlight w:val="none"/>
        </w:rPr>
      </w:pPr>
      <w:r>
        <w:rPr>
          <w:rFonts w:hint="eastAsia" w:ascii="黑体" w:hAnsi="黑体" w:eastAsia="黑体"/>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一、财政拨款收入：</w:t>
      </w:r>
      <w:r>
        <w:rPr>
          <w:rFonts w:hint="eastAsia" w:ascii="仿宋_GB2312" w:eastAsia="仿宋_GB2312"/>
          <w:sz w:val="32"/>
          <w:szCs w:val="32"/>
          <w:highlight w:val="none"/>
        </w:rPr>
        <w:t>指由</w:t>
      </w:r>
      <w:r>
        <w:rPr>
          <w:rFonts w:hint="eastAsia" w:ascii="仿宋_GB2312" w:eastAsia="仿宋_GB2312"/>
          <w:sz w:val="32"/>
          <w:szCs w:val="32"/>
          <w:highlight w:val="none"/>
          <w:lang w:eastAsia="zh-CN"/>
        </w:rPr>
        <w:t>市级</w:t>
      </w:r>
      <w:r>
        <w:rPr>
          <w:rFonts w:hint="eastAsia" w:ascii="仿宋_GB2312" w:eastAsia="仿宋_GB2312"/>
          <w:sz w:val="32"/>
          <w:szCs w:val="32"/>
          <w:highlight w:val="none"/>
        </w:rPr>
        <w:t>财政拨款形成的部门收入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包括一般公共预算拨款</w:t>
      </w:r>
      <w:r>
        <w:rPr>
          <w:rFonts w:hint="eastAsia" w:ascii="仿宋_GB2312" w:eastAsia="仿宋_GB2312"/>
          <w:sz w:val="32"/>
          <w:szCs w:val="32"/>
          <w:highlight w:val="none"/>
          <w:lang w:val="en-US" w:eastAsia="zh-CN"/>
        </w:rPr>
        <w:t>收入</w:t>
      </w:r>
      <w:r>
        <w:rPr>
          <w:rFonts w:hint="eastAsia" w:ascii="仿宋_GB2312" w:eastAsia="仿宋_GB2312"/>
          <w:sz w:val="32"/>
          <w:szCs w:val="32"/>
          <w:highlight w:val="none"/>
        </w:rPr>
        <w:t>、政府性基金预算拨款</w:t>
      </w:r>
      <w:r>
        <w:rPr>
          <w:rFonts w:hint="eastAsia" w:ascii="仿宋_GB2312" w:eastAsia="仿宋_GB2312"/>
          <w:sz w:val="32"/>
          <w:szCs w:val="32"/>
          <w:highlight w:val="none"/>
          <w:lang w:val="en-US" w:eastAsia="zh-CN"/>
        </w:rPr>
        <w:t>收入</w:t>
      </w:r>
      <w:r>
        <w:rPr>
          <w:rFonts w:hint="eastAsia" w:ascii="仿宋_GB2312" w:eastAsia="仿宋_GB2312"/>
          <w:sz w:val="32"/>
          <w:szCs w:val="32"/>
          <w:highlight w:val="none"/>
        </w:rPr>
        <w:t>和国有资本经营预算拨款</w:t>
      </w:r>
      <w:r>
        <w:rPr>
          <w:rFonts w:hint="eastAsia" w:ascii="仿宋_GB2312" w:eastAsia="仿宋_GB2312"/>
          <w:sz w:val="32"/>
          <w:szCs w:val="32"/>
          <w:highlight w:val="none"/>
          <w:lang w:val="en-US" w:eastAsia="zh-CN"/>
        </w:rPr>
        <w:t>收入</w:t>
      </w:r>
      <w:r>
        <w:rPr>
          <w:rFonts w:hint="eastAsia" w:ascii="仿宋_GB2312" w:eastAsia="仿宋_GB2312"/>
          <w:sz w:val="32"/>
          <w:szCs w:val="32"/>
          <w:highlight w:val="none"/>
        </w:rPr>
        <w:t>。</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二、财政专户管理资金</w:t>
      </w:r>
      <w:r>
        <w:rPr>
          <w:rFonts w:hint="eastAsia" w:ascii="仿宋_GB2312" w:eastAsia="仿宋_GB2312"/>
          <w:sz w:val="32"/>
          <w:szCs w:val="32"/>
          <w:highlight w:val="none"/>
        </w:rPr>
        <w:t>：指缴入财政专户、实行专项管理的高中以上学费、住宿费、高校委托培养费、函大、电大、夜大及短训班培训费等教育收费。</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highlight w:val="none"/>
        </w:rPr>
      </w:pPr>
      <w:r>
        <w:rPr>
          <w:rFonts w:hint="eastAsia" w:ascii="黑体" w:hAnsi="黑体" w:eastAsia="黑体"/>
          <w:sz w:val="32"/>
          <w:szCs w:val="32"/>
          <w:highlight w:val="none"/>
        </w:rPr>
        <w:t>三、事业收入：</w:t>
      </w:r>
      <w:r>
        <w:rPr>
          <w:rFonts w:hint="eastAsia" w:ascii="仿宋_GB2312" w:eastAsia="仿宋_GB2312"/>
          <w:sz w:val="32"/>
          <w:szCs w:val="32"/>
          <w:highlight w:val="none"/>
        </w:rPr>
        <w:t>指事业单位开展专业业务活动及辅助活动所取得的收入，不含纳入财政专户管理的教育收费。</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highlight w:val="none"/>
        </w:rPr>
      </w:pPr>
      <w:r>
        <w:rPr>
          <w:rFonts w:hint="eastAsia" w:ascii="黑体" w:hAnsi="黑体" w:eastAsia="黑体"/>
          <w:sz w:val="32"/>
          <w:szCs w:val="32"/>
          <w:highlight w:val="none"/>
        </w:rPr>
        <w:t>四、事业单位经营收入：</w:t>
      </w:r>
      <w:r>
        <w:rPr>
          <w:rFonts w:hint="eastAsia" w:ascii="仿宋_GB2312" w:eastAsia="仿宋_GB2312"/>
          <w:sz w:val="32"/>
          <w:szCs w:val="32"/>
          <w:highlight w:val="none"/>
        </w:rPr>
        <w:t>指事业单位在专业业务活动及其辅助活动之外开展非独立核算经营活动取得的收入。</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default" w:ascii="仿宋_GB2312" w:eastAsia="仿宋_GB2312"/>
          <w:sz w:val="32"/>
          <w:szCs w:val="32"/>
          <w:highlight w:val="none"/>
          <w:lang w:val="en-US" w:eastAsia="zh-CN"/>
        </w:rPr>
      </w:pPr>
      <w:r>
        <w:rPr>
          <w:rFonts w:hint="eastAsia" w:ascii="黑体" w:hAnsi="黑体" w:eastAsia="黑体"/>
          <w:sz w:val="32"/>
          <w:szCs w:val="32"/>
          <w:highlight w:val="none"/>
        </w:rPr>
        <w:t>五、其他收入：</w:t>
      </w:r>
      <w:r>
        <w:rPr>
          <w:rFonts w:hint="eastAsia" w:ascii="仿宋_GB2312" w:eastAsia="仿宋_GB2312"/>
          <w:sz w:val="32"/>
          <w:szCs w:val="32"/>
          <w:highlight w:val="none"/>
        </w:rPr>
        <w:t>指除“财政拨款收入”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财政专户管理资金</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“事业收入”“事业单位经营收入”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上级补助收入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附属单位上缴收入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等以外的收入。</w:t>
      </w:r>
      <w:r>
        <w:rPr>
          <w:rFonts w:hint="eastAsia" w:ascii="仿宋_GB2312" w:eastAsia="仿宋_GB2312"/>
          <w:sz w:val="32"/>
          <w:szCs w:val="32"/>
          <w:highlight w:val="none"/>
          <w:lang w:val="en-US" w:eastAsia="zh-CN"/>
        </w:rPr>
        <w:t>主要包括利息存款收入、事业单位固定资产出租收入等。</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六、上级补助收入：</w:t>
      </w:r>
      <w:r>
        <w:rPr>
          <w:rFonts w:hint="eastAsia" w:ascii="仿宋_GB2312" w:eastAsia="仿宋_GB2312"/>
          <w:sz w:val="32"/>
          <w:szCs w:val="32"/>
          <w:highlight w:val="none"/>
        </w:rPr>
        <w:t>指单位从主管部门和上级单位取得的非财政补助收入。</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七、附属单位上缴收入：</w:t>
      </w:r>
      <w:r>
        <w:rPr>
          <w:rFonts w:hint="eastAsia" w:ascii="仿宋_GB2312" w:eastAsia="仿宋_GB2312"/>
          <w:sz w:val="32"/>
          <w:szCs w:val="32"/>
          <w:highlight w:val="none"/>
        </w:rPr>
        <w:t>指本</w:t>
      </w:r>
      <w:r>
        <w:rPr>
          <w:rFonts w:hint="eastAsia" w:ascii="仿宋_GB2312" w:eastAsia="仿宋_GB2312"/>
          <w:sz w:val="32"/>
          <w:szCs w:val="32"/>
          <w:highlight w:val="none"/>
          <w:lang w:val="en-US" w:eastAsia="zh-CN"/>
        </w:rPr>
        <w:t>部门</w:t>
      </w:r>
      <w:r>
        <w:rPr>
          <w:rFonts w:hint="eastAsia" w:ascii="仿宋_GB2312" w:eastAsia="仿宋_GB2312"/>
          <w:sz w:val="32"/>
          <w:szCs w:val="32"/>
          <w:highlight w:val="none"/>
        </w:rPr>
        <w:t>所属纳入部门预算编报范围的单位按有关规定上缴的收入。</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八、使用非财政拨款结余：</w:t>
      </w:r>
      <w:r>
        <w:rPr>
          <w:rFonts w:hint="eastAsia" w:ascii="仿宋_GB2312" w:eastAsia="仿宋_GB2312"/>
          <w:sz w:val="32"/>
          <w:szCs w:val="32"/>
          <w:highlight w:val="none"/>
        </w:rPr>
        <w:t>指本</w:t>
      </w:r>
      <w:r>
        <w:rPr>
          <w:rFonts w:hint="eastAsia" w:ascii="仿宋_GB2312" w:eastAsia="仿宋_GB2312"/>
          <w:sz w:val="32"/>
          <w:szCs w:val="32"/>
          <w:highlight w:val="none"/>
          <w:lang w:val="en-US" w:eastAsia="zh-CN"/>
        </w:rPr>
        <w:t>部门</w:t>
      </w:r>
      <w:r>
        <w:rPr>
          <w:rFonts w:hint="eastAsia" w:ascii="仿宋_GB2312" w:eastAsia="仿宋_GB2312"/>
          <w:sz w:val="32"/>
          <w:szCs w:val="32"/>
          <w:highlight w:val="none"/>
        </w:rPr>
        <w:t>在预计用当年的“财政拨款收入”“财政专户管理资金收入”“事业收入”“事业单位经营收入”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上级补助收入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附属单位上缴收入</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“其他收入”等不足以安排当年支出的情况下，使用以前年度积累结余弥补本年度收支缺口的资金。</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九、上年结转：</w:t>
      </w:r>
      <w:r>
        <w:rPr>
          <w:rFonts w:hint="eastAsia" w:ascii="仿宋_GB2312" w:eastAsia="仿宋_GB2312"/>
          <w:sz w:val="32"/>
          <w:szCs w:val="32"/>
          <w:highlight w:val="none"/>
        </w:rPr>
        <w:t>指以前年度尚未完成、结转到本年仍按原规定用途继续使用的资金。</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十、基本支出：</w:t>
      </w:r>
      <w:r>
        <w:rPr>
          <w:rFonts w:hint="eastAsia" w:ascii="仿宋_GB2312" w:eastAsia="仿宋_GB2312"/>
          <w:sz w:val="32"/>
          <w:szCs w:val="32"/>
          <w:highlight w:val="none"/>
        </w:rPr>
        <w:t>指为保障机构正常运转、完成日常工作任务而发生的人员支出和日常公用支出。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十一、项目支出：</w:t>
      </w:r>
      <w:r>
        <w:rPr>
          <w:rFonts w:hint="eastAsia" w:ascii="仿宋_GB2312" w:eastAsia="仿宋_GB2312"/>
          <w:sz w:val="32"/>
          <w:szCs w:val="32"/>
          <w:highlight w:val="none"/>
        </w:rPr>
        <w:t>指在基本支出之外为完成特定任务和事业发展目标所发生的支出。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黑体" w:hAnsi="黑体" w:eastAsia="黑体"/>
          <w:sz w:val="32"/>
          <w:szCs w:val="32"/>
          <w:highlight w:val="none"/>
        </w:rPr>
      </w:pPr>
      <w:r>
        <w:rPr>
          <w:rFonts w:hint="eastAsia" w:ascii="黑体" w:hAnsi="黑体" w:eastAsia="黑体"/>
          <w:sz w:val="32"/>
          <w:szCs w:val="32"/>
          <w:highlight w:val="none"/>
        </w:rPr>
        <w:t>十二、上缴上级支出：</w:t>
      </w:r>
      <w:r>
        <w:rPr>
          <w:rFonts w:hint="eastAsia" w:ascii="仿宋_GB2312" w:eastAsia="仿宋_GB2312"/>
          <w:sz w:val="32"/>
          <w:szCs w:val="32"/>
          <w:highlight w:val="none"/>
        </w:rPr>
        <w:t>指下级单位上缴上级的支出。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十三、事业单位经营支出：</w:t>
      </w:r>
      <w:r>
        <w:rPr>
          <w:rFonts w:hint="eastAsia" w:ascii="仿宋_GB2312" w:eastAsia="仿宋_GB2312"/>
          <w:sz w:val="32"/>
          <w:szCs w:val="32"/>
          <w:highlight w:val="none"/>
        </w:rPr>
        <w:t>指事业单位在专业业务活动及其辅助活动之外开展非独立核算经营活动发生的支出。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十四、对下级单位补助支出：</w:t>
      </w:r>
      <w:r>
        <w:rPr>
          <w:rFonts w:hint="eastAsia" w:ascii="仿宋_GB2312" w:eastAsia="仿宋_GB2312"/>
          <w:sz w:val="32"/>
          <w:szCs w:val="32"/>
          <w:highlight w:val="none"/>
        </w:rPr>
        <w:t>指对下级单位补助发生的支出。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十五、结转下年</w:t>
      </w:r>
      <w:r>
        <w:rPr>
          <w:rFonts w:hint="eastAsia" w:ascii="仿宋_GB2312" w:eastAsia="仿宋_GB2312"/>
          <w:sz w:val="32"/>
          <w:szCs w:val="32"/>
          <w:highlight w:val="none"/>
        </w:rPr>
        <w:t>：指以前年度预算安排、因客观条件发生变化无法按原计划实施，需延迟到以后年度按原规定用途继续使用的资金。</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sz w:val="32"/>
          <w:szCs w:val="32"/>
          <w:highlight w:val="none"/>
        </w:rPr>
      </w:pPr>
      <w:r>
        <w:rPr>
          <w:rFonts w:hint="eastAsia" w:ascii="黑体" w:hAnsi="黑体" w:eastAsia="黑体"/>
          <w:sz w:val="32"/>
          <w:szCs w:val="32"/>
          <w:highlight w:val="none"/>
        </w:rPr>
        <w:t>十六、“三公”经费：</w:t>
      </w:r>
      <w:r>
        <w:rPr>
          <w:rFonts w:hint="eastAsia" w:ascii="仿宋_GB2312" w:eastAsia="仿宋_GB2312"/>
          <w:sz w:val="32"/>
          <w:szCs w:val="32"/>
          <w:highlight w:val="none"/>
        </w:rPr>
        <w:t>指</w:t>
      </w:r>
      <w:r>
        <w:rPr>
          <w:rFonts w:hint="eastAsia" w:ascii="仿宋_GB2312" w:eastAsia="仿宋_GB2312"/>
          <w:sz w:val="32"/>
          <w:szCs w:val="32"/>
          <w:highlight w:val="none"/>
          <w:lang w:eastAsia="zh-CN"/>
        </w:rPr>
        <w:t>市级</w:t>
      </w:r>
      <w:r>
        <w:rPr>
          <w:rFonts w:hint="eastAsia" w:ascii="仿宋_GB2312" w:eastAsia="仿宋_GB2312"/>
          <w:sz w:val="32"/>
          <w:szCs w:val="32"/>
          <w:highlight w:val="none"/>
        </w:rPr>
        <w:t>部门</w:t>
      </w:r>
      <w:r>
        <w:rPr>
          <w:rFonts w:hint="eastAsia" w:ascii="仿宋_GB2312" w:eastAsia="仿宋_GB2312"/>
          <w:sz w:val="32"/>
          <w:szCs w:val="32"/>
          <w:highlight w:val="none"/>
          <w:lang w:val="en-US" w:eastAsia="zh-CN"/>
        </w:rPr>
        <w:t>单位</w:t>
      </w:r>
      <w:r>
        <w:rPr>
          <w:rFonts w:hint="eastAsia" w:ascii="仿宋_GB2312" w:eastAsia="仿宋_GB2312"/>
          <w:sz w:val="32"/>
          <w:szCs w:val="32"/>
          <w:highlight w:val="none"/>
        </w:rPr>
        <w:t>安排的因公出国（境）费、公务用车购置及运行费和公务接待费。其中，因公出国（境）费反映单位公务出国（境）的国际差旅费、国外城市间交通费、住宿费、伙食费、培训费、公杂费等支出；公务用车购置及运行费反映单位公务用车车辆购置支出（含车辆购置税）及燃料费、维修费、过路过桥费、保险费、安全奖励费用等支出；公务接待费反映单位按规定开支的各类接待（含外宾接待）支出。</w:t>
      </w: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hint="eastAsia" w:ascii="仿宋_GB2312" w:eastAsia="仿宋_GB2312"/>
          <w:sz w:val="32"/>
          <w:szCs w:val="32"/>
          <w:highlight w:val="none"/>
        </w:rPr>
      </w:pPr>
      <w:r>
        <w:rPr>
          <w:rFonts w:hint="eastAsia" w:ascii="黑体" w:hAnsi="黑体" w:eastAsia="黑体"/>
          <w:sz w:val="32"/>
          <w:szCs w:val="32"/>
          <w:highlight w:val="none"/>
        </w:rPr>
        <w:t>十七、机关运行经费：</w:t>
      </w:r>
      <w:r>
        <w:rPr>
          <w:rFonts w:hint="eastAsia" w:ascii="仿宋_GB2312" w:eastAsia="仿宋_GB2312"/>
          <w:sz w:val="32"/>
          <w:szCs w:val="32"/>
          <w:highlight w:val="none"/>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80" w:lineRule="exact"/>
        <w:ind w:firstLine="600"/>
        <w:rPr>
          <w:rFonts w:hint="eastAsia" w:ascii="仿宋" w:hAnsi="仿宋" w:eastAsia="仿宋"/>
          <w:sz w:val="32"/>
          <w:szCs w:val="32"/>
          <w:highlight w:val="none"/>
        </w:rPr>
      </w:pPr>
      <w:r>
        <w:rPr>
          <w:rFonts w:hint="eastAsia" w:ascii="黑体" w:hAnsi="黑体" w:eastAsia="黑体" w:cs="黑体"/>
          <w:sz w:val="32"/>
          <w:szCs w:val="32"/>
          <w:highlight w:val="none"/>
          <w:lang w:eastAsia="zh-CN"/>
        </w:rPr>
        <w:t>十八、</w:t>
      </w:r>
      <w:r>
        <w:rPr>
          <w:rFonts w:hint="eastAsia" w:ascii="黑体" w:hAnsi="黑体" w:eastAsia="黑体"/>
          <w:sz w:val="32"/>
          <w:szCs w:val="32"/>
          <w:highlight w:val="none"/>
        </w:rPr>
        <w:t>一般公共服务（类）统战事务（款）行政运行（项）：</w:t>
      </w:r>
      <w:r>
        <w:rPr>
          <w:rFonts w:hint="eastAsia" w:ascii="仿宋" w:hAnsi="仿宋" w:eastAsia="仿宋"/>
          <w:sz w:val="32"/>
          <w:szCs w:val="32"/>
          <w:highlight w:val="none"/>
        </w:rPr>
        <w:t>指威海市委统战部机关</w:t>
      </w:r>
      <w:r>
        <w:rPr>
          <w:rFonts w:hint="eastAsia" w:ascii="仿宋" w:hAnsi="仿宋" w:eastAsia="仿宋"/>
          <w:sz w:val="32"/>
          <w:szCs w:val="32"/>
          <w:highlight w:val="none"/>
          <w:lang w:eastAsia="zh-CN"/>
        </w:rPr>
        <w:t>及下属单位威海市欧美同学会秘书处</w:t>
      </w:r>
      <w:r>
        <w:rPr>
          <w:rFonts w:hint="eastAsia" w:ascii="仿宋" w:hAnsi="仿宋" w:eastAsia="仿宋"/>
          <w:sz w:val="32"/>
          <w:szCs w:val="32"/>
          <w:highlight w:val="none"/>
        </w:rPr>
        <w:t>用于保障机构正常运行、开展日常工作</w:t>
      </w:r>
      <w:r>
        <w:rPr>
          <w:rFonts w:hint="eastAsia" w:ascii="仿宋" w:hAnsi="仿宋" w:eastAsia="仿宋"/>
          <w:sz w:val="32"/>
          <w:szCs w:val="32"/>
          <w:highlight w:val="none"/>
          <w:lang w:eastAsia="zh-CN"/>
        </w:rPr>
        <w:t>的</w:t>
      </w:r>
      <w:r>
        <w:rPr>
          <w:rFonts w:hint="eastAsia" w:ascii="仿宋" w:hAnsi="仿宋" w:eastAsia="仿宋"/>
          <w:sz w:val="32"/>
          <w:szCs w:val="32"/>
          <w:highlight w:val="none"/>
        </w:rPr>
        <w:t>人员经费和公用经费支出。</w:t>
      </w:r>
    </w:p>
    <w:p>
      <w:pPr>
        <w:spacing w:line="580" w:lineRule="exact"/>
        <w:ind w:firstLine="600"/>
        <w:rPr>
          <w:rFonts w:hint="eastAsia" w:ascii="仿宋" w:hAnsi="仿宋" w:eastAsia="仿宋"/>
          <w:sz w:val="32"/>
          <w:szCs w:val="32"/>
          <w:highlight w:val="none"/>
        </w:rPr>
      </w:pPr>
      <w:r>
        <w:rPr>
          <w:rFonts w:hint="eastAsia" w:ascii="黑体" w:hAnsi="黑体" w:eastAsia="黑体" w:cs="黑体"/>
          <w:sz w:val="32"/>
          <w:szCs w:val="32"/>
          <w:highlight w:val="none"/>
          <w:lang w:eastAsia="zh-CN"/>
        </w:rPr>
        <w:t>十九</w:t>
      </w:r>
      <w:r>
        <w:rPr>
          <w:rFonts w:hint="eastAsia" w:ascii="仿宋" w:hAnsi="仿宋" w:eastAsia="仿宋"/>
          <w:sz w:val="32"/>
          <w:szCs w:val="32"/>
          <w:highlight w:val="none"/>
          <w:lang w:eastAsia="zh-CN"/>
        </w:rPr>
        <w:t>、</w:t>
      </w:r>
      <w:r>
        <w:rPr>
          <w:rFonts w:hint="eastAsia" w:ascii="黑体" w:hAnsi="黑体" w:eastAsia="黑体"/>
          <w:sz w:val="32"/>
          <w:szCs w:val="32"/>
          <w:highlight w:val="none"/>
        </w:rPr>
        <w:t>一般公共服务（类）统战事务（款）</w:t>
      </w:r>
      <w:r>
        <w:rPr>
          <w:rFonts w:hint="eastAsia" w:ascii="黑体" w:hAnsi="黑体" w:eastAsia="黑体"/>
          <w:sz w:val="32"/>
          <w:szCs w:val="32"/>
          <w:highlight w:val="none"/>
          <w:lang w:eastAsia="zh-CN"/>
        </w:rPr>
        <w:t>事业</w:t>
      </w:r>
      <w:r>
        <w:rPr>
          <w:rFonts w:hint="eastAsia" w:ascii="黑体" w:hAnsi="黑体" w:eastAsia="黑体"/>
          <w:sz w:val="32"/>
          <w:szCs w:val="32"/>
          <w:highlight w:val="none"/>
        </w:rPr>
        <w:t>运行（项）：</w:t>
      </w:r>
      <w:r>
        <w:rPr>
          <w:rFonts w:hint="eastAsia" w:ascii="仿宋" w:hAnsi="仿宋" w:eastAsia="仿宋"/>
          <w:sz w:val="32"/>
          <w:szCs w:val="32"/>
          <w:highlight w:val="none"/>
        </w:rPr>
        <w:t>指威海市委统战部</w:t>
      </w:r>
      <w:r>
        <w:rPr>
          <w:rFonts w:hint="eastAsia" w:ascii="仿宋" w:hAnsi="仿宋" w:eastAsia="仿宋"/>
          <w:sz w:val="32"/>
          <w:szCs w:val="32"/>
          <w:highlight w:val="none"/>
          <w:lang w:eastAsia="zh-CN"/>
        </w:rPr>
        <w:t>下属单位威海市民族宗教事务服务中心</w:t>
      </w:r>
      <w:r>
        <w:rPr>
          <w:rFonts w:hint="eastAsia" w:ascii="仿宋" w:hAnsi="仿宋" w:eastAsia="仿宋"/>
          <w:sz w:val="32"/>
          <w:szCs w:val="32"/>
          <w:highlight w:val="none"/>
        </w:rPr>
        <w:t>用于保障机构正常运行、开展日常工作</w:t>
      </w:r>
      <w:r>
        <w:rPr>
          <w:rFonts w:hint="eastAsia" w:ascii="仿宋" w:hAnsi="仿宋" w:eastAsia="仿宋"/>
          <w:sz w:val="32"/>
          <w:szCs w:val="32"/>
          <w:highlight w:val="none"/>
          <w:lang w:eastAsia="zh-CN"/>
        </w:rPr>
        <w:t>的</w:t>
      </w:r>
      <w:r>
        <w:rPr>
          <w:rFonts w:hint="eastAsia" w:ascii="仿宋" w:hAnsi="仿宋" w:eastAsia="仿宋"/>
          <w:sz w:val="32"/>
          <w:szCs w:val="32"/>
          <w:highlight w:val="none"/>
        </w:rPr>
        <w:t>人员经费和公用经费支出。</w:t>
      </w:r>
    </w:p>
    <w:p>
      <w:pPr>
        <w:spacing w:line="580" w:lineRule="exact"/>
        <w:ind w:firstLine="600"/>
        <w:rPr>
          <w:rFonts w:hint="eastAsia" w:ascii="仿宋" w:hAnsi="仿宋" w:eastAsia="仿宋"/>
          <w:sz w:val="32"/>
          <w:szCs w:val="32"/>
          <w:highlight w:val="none"/>
        </w:rPr>
      </w:pPr>
      <w:r>
        <w:rPr>
          <w:rFonts w:hint="eastAsia" w:ascii="黑体" w:hAnsi="黑体" w:eastAsia="黑体" w:cs="黑体"/>
          <w:sz w:val="32"/>
          <w:szCs w:val="32"/>
          <w:highlight w:val="none"/>
          <w:lang w:eastAsia="zh-CN"/>
        </w:rPr>
        <w:t>二十</w:t>
      </w:r>
      <w:r>
        <w:rPr>
          <w:rFonts w:hint="eastAsia" w:ascii="仿宋" w:hAnsi="仿宋" w:eastAsia="仿宋"/>
          <w:sz w:val="32"/>
          <w:szCs w:val="32"/>
          <w:highlight w:val="none"/>
          <w:lang w:eastAsia="zh-CN"/>
        </w:rPr>
        <w:t>、</w:t>
      </w:r>
      <w:r>
        <w:rPr>
          <w:rFonts w:hint="eastAsia" w:ascii="黑体" w:hAnsi="黑体" w:eastAsia="黑体"/>
          <w:sz w:val="32"/>
          <w:szCs w:val="32"/>
          <w:highlight w:val="none"/>
        </w:rPr>
        <w:t>社会保障和就业（类）其他社会保障和就业（款）其他社会保障和就业支出（项）：</w:t>
      </w:r>
      <w:r>
        <w:rPr>
          <w:rFonts w:hint="eastAsia" w:ascii="仿宋" w:hAnsi="仿宋" w:eastAsia="仿宋"/>
          <w:sz w:val="32"/>
          <w:szCs w:val="32"/>
          <w:highlight w:val="none"/>
        </w:rPr>
        <w:t>指威海市委统战部机关</w:t>
      </w:r>
      <w:r>
        <w:rPr>
          <w:rFonts w:hint="eastAsia" w:ascii="仿宋" w:hAnsi="仿宋" w:eastAsia="仿宋"/>
          <w:sz w:val="32"/>
          <w:szCs w:val="32"/>
          <w:highlight w:val="none"/>
          <w:lang w:eastAsia="zh-CN"/>
        </w:rPr>
        <w:t>及下属单位威海市欧美同学会秘书处、威海市民族宗教事务服务中心</w:t>
      </w:r>
      <w:r>
        <w:rPr>
          <w:rFonts w:hint="eastAsia" w:ascii="仿宋" w:hAnsi="仿宋" w:eastAsia="仿宋"/>
          <w:sz w:val="32"/>
          <w:szCs w:val="32"/>
          <w:highlight w:val="none"/>
        </w:rPr>
        <w:t>缴纳的职工工伤保险、失业保险支出。</w:t>
      </w:r>
    </w:p>
    <w:p>
      <w:pPr>
        <w:spacing w:line="580" w:lineRule="exact"/>
        <w:ind w:firstLine="600"/>
        <w:rPr>
          <w:rFonts w:hint="eastAsia" w:ascii="仿宋" w:hAnsi="仿宋" w:eastAsia="仿宋"/>
          <w:sz w:val="32"/>
          <w:szCs w:val="32"/>
          <w:highlight w:val="none"/>
        </w:rPr>
      </w:pPr>
      <w:r>
        <w:rPr>
          <w:rFonts w:hint="eastAsia" w:ascii="黑体" w:hAnsi="黑体" w:eastAsia="黑体" w:cs="黑体"/>
          <w:sz w:val="32"/>
          <w:szCs w:val="32"/>
          <w:highlight w:val="none"/>
          <w:lang w:eastAsia="zh-CN"/>
        </w:rPr>
        <w:t>二十一、</w:t>
      </w:r>
      <w:r>
        <w:rPr>
          <w:rFonts w:hint="eastAsia" w:ascii="黑体" w:hAnsi="黑体" w:eastAsia="黑体"/>
          <w:sz w:val="32"/>
          <w:szCs w:val="32"/>
          <w:highlight w:val="none"/>
          <w:lang w:eastAsia="zh-CN"/>
        </w:rPr>
        <w:t>卫生健康支出</w:t>
      </w:r>
      <w:r>
        <w:rPr>
          <w:rFonts w:hint="eastAsia" w:ascii="黑体" w:hAnsi="黑体" w:eastAsia="黑体"/>
          <w:sz w:val="32"/>
          <w:szCs w:val="32"/>
          <w:highlight w:val="none"/>
        </w:rPr>
        <w:t>（类）行政事业单位医疗（款）行政单位医疗（项）：</w:t>
      </w:r>
      <w:r>
        <w:rPr>
          <w:rFonts w:hint="eastAsia" w:ascii="仿宋" w:hAnsi="仿宋" w:eastAsia="仿宋"/>
          <w:sz w:val="32"/>
          <w:szCs w:val="32"/>
          <w:highlight w:val="none"/>
        </w:rPr>
        <w:t>指威海市委统战部机关</w:t>
      </w:r>
      <w:r>
        <w:rPr>
          <w:rFonts w:hint="eastAsia" w:ascii="仿宋" w:hAnsi="仿宋" w:eastAsia="仿宋"/>
          <w:sz w:val="32"/>
          <w:szCs w:val="32"/>
          <w:highlight w:val="none"/>
          <w:lang w:eastAsia="zh-CN"/>
        </w:rPr>
        <w:t>及下属单位威海市欧美同学会秘书处</w:t>
      </w:r>
      <w:r>
        <w:rPr>
          <w:rFonts w:hint="eastAsia" w:ascii="仿宋" w:hAnsi="仿宋" w:eastAsia="仿宋"/>
          <w:sz w:val="32"/>
          <w:szCs w:val="32"/>
          <w:highlight w:val="none"/>
        </w:rPr>
        <w:t>缴纳的职工医疗保险支出。</w:t>
      </w:r>
    </w:p>
    <w:p>
      <w:pPr>
        <w:spacing w:line="580" w:lineRule="exact"/>
        <w:ind w:firstLine="600"/>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二十二、</w:t>
      </w:r>
      <w:r>
        <w:rPr>
          <w:rFonts w:hint="eastAsia" w:ascii="黑体" w:hAnsi="黑体" w:eastAsia="黑体"/>
          <w:sz w:val="32"/>
          <w:szCs w:val="32"/>
          <w:highlight w:val="none"/>
          <w:lang w:eastAsia="zh-CN"/>
        </w:rPr>
        <w:t>卫生健康支出</w:t>
      </w:r>
      <w:r>
        <w:rPr>
          <w:rFonts w:hint="eastAsia" w:ascii="黑体" w:hAnsi="黑体" w:eastAsia="黑体"/>
          <w:sz w:val="32"/>
          <w:szCs w:val="32"/>
          <w:highlight w:val="none"/>
        </w:rPr>
        <w:t>（类）行政事业单位医疗（款）</w:t>
      </w:r>
      <w:r>
        <w:rPr>
          <w:rFonts w:hint="eastAsia" w:ascii="黑体" w:hAnsi="黑体" w:eastAsia="黑体"/>
          <w:sz w:val="32"/>
          <w:szCs w:val="32"/>
          <w:highlight w:val="none"/>
          <w:lang w:eastAsia="zh-CN"/>
        </w:rPr>
        <w:t>事业</w:t>
      </w:r>
      <w:r>
        <w:rPr>
          <w:rFonts w:hint="eastAsia" w:ascii="黑体" w:hAnsi="黑体" w:eastAsia="黑体"/>
          <w:sz w:val="32"/>
          <w:szCs w:val="32"/>
          <w:highlight w:val="none"/>
        </w:rPr>
        <w:t>单位医疗（项）：</w:t>
      </w:r>
      <w:r>
        <w:rPr>
          <w:rFonts w:hint="eastAsia" w:ascii="仿宋" w:hAnsi="仿宋" w:eastAsia="仿宋"/>
          <w:sz w:val="32"/>
          <w:szCs w:val="32"/>
          <w:highlight w:val="none"/>
        </w:rPr>
        <w:t>指威海市委统战部</w:t>
      </w:r>
      <w:r>
        <w:rPr>
          <w:rFonts w:hint="eastAsia" w:ascii="仿宋" w:hAnsi="仿宋" w:eastAsia="仿宋"/>
          <w:sz w:val="32"/>
          <w:szCs w:val="32"/>
          <w:highlight w:val="none"/>
          <w:lang w:eastAsia="zh-CN"/>
        </w:rPr>
        <w:t>下属单位威海市民族宗教事务服务中心</w:t>
      </w:r>
      <w:r>
        <w:rPr>
          <w:rFonts w:hint="eastAsia" w:ascii="仿宋" w:hAnsi="仿宋" w:eastAsia="仿宋"/>
          <w:sz w:val="32"/>
          <w:szCs w:val="32"/>
          <w:highlight w:val="none"/>
        </w:rPr>
        <w:t>缴纳的职工医疗保险支出。</w:t>
      </w:r>
    </w:p>
    <w:p>
      <w:pPr>
        <w:spacing w:line="580" w:lineRule="exact"/>
        <w:ind w:firstLine="640" w:firstLineChars="200"/>
        <w:rPr>
          <w:rFonts w:hint="eastAsia" w:ascii="仿宋" w:hAnsi="仿宋" w:eastAsia="仿宋"/>
          <w:sz w:val="32"/>
          <w:szCs w:val="32"/>
          <w:highlight w:val="none"/>
        </w:rPr>
      </w:pPr>
      <w:r>
        <w:rPr>
          <w:rFonts w:hint="eastAsia" w:ascii="黑体" w:hAnsi="黑体" w:eastAsia="黑体" w:cs="黑体"/>
          <w:sz w:val="32"/>
          <w:szCs w:val="32"/>
          <w:highlight w:val="none"/>
          <w:lang w:eastAsia="zh-CN"/>
        </w:rPr>
        <w:t>二十三、</w:t>
      </w:r>
      <w:r>
        <w:rPr>
          <w:rFonts w:hint="eastAsia" w:ascii="黑体" w:hAnsi="黑体" w:eastAsia="黑体"/>
          <w:color w:val="000000"/>
          <w:sz w:val="32"/>
          <w:szCs w:val="32"/>
          <w:highlight w:val="none"/>
          <w:lang w:eastAsia="zh-CN"/>
        </w:rPr>
        <w:t>卫生健康支出</w:t>
      </w:r>
      <w:r>
        <w:rPr>
          <w:rFonts w:hint="eastAsia" w:ascii="黑体" w:hAnsi="黑体" w:eastAsia="黑体"/>
          <w:color w:val="000000"/>
          <w:sz w:val="32"/>
          <w:szCs w:val="32"/>
          <w:highlight w:val="none"/>
        </w:rPr>
        <w:t>（类）行政事业单位医疗（款）公务员医疗补助（项）：</w:t>
      </w:r>
      <w:r>
        <w:rPr>
          <w:rFonts w:hint="eastAsia" w:ascii="仿宋" w:hAnsi="仿宋" w:eastAsia="仿宋"/>
          <w:sz w:val="32"/>
          <w:szCs w:val="32"/>
          <w:highlight w:val="none"/>
        </w:rPr>
        <w:t>指威海市委统战部机关</w:t>
      </w:r>
      <w:r>
        <w:rPr>
          <w:rFonts w:hint="eastAsia" w:ascii="仿宋" w:hAnsi="仿宋" w:eastAsia="仿宋"/>
          <w:sz w:val="32"/>
          <w:szCs w:val="32"/>
          <w:highlight w:val="none"/>
          <w:lang w:eastAsia="zh-CN"/>
        </w:rPr>
        <w:t>及下属单位威海市欧美同学会秘书处、威海市民族宗教事务服务中心</w:t>
      </w:r>
      <w:r>
        <w:rPr>
          <w:rFonts w:hint="eastAsia" w:ascii="仿宋" w:hAnsi="仿宋" w:eastAsia="仿宋"/>
          <w:sz w:val="32"/>
          <w:szCs w:val="32"/>
          <w:highlight w:val="none"/>
        </w:rPr>
        <w:t>缴纳</w:t>
      </w:r>
      <w:r>
        <w:rPr>
          <w:rFonts w:hint="eastAsia" w:ascii="仿宋" w:hAnsi="仿宋" w:eastAsia="仿宋"/>
          <w:sz w:val="32"/>
          <w:szCs w:val="32"/>
          <w:highlight w:val="none"/>
          <w:lang w:eastAsia="zh-CN"/>
        </w:rPr>
        <w:t>的</w:t>
      </w:r>
      <w:r>
        <w:rPr>
          <w:rFonts w:hint="eastAsia" w:ascii="仿宋" w:hAnsi="仿宋" w:eastAsia="仿宋"/>
          <w:sz w:val="32"/>
          <w:szCs w:val="32"/>
          <w:highlight w:val="none"/>
        </w:rPr>
        <w:t>公务员医疗补助保险支出。</w:t>
      </w:r>
    </w:p>
    <w:p>
      <w:pPr>
        <w:spacing w:line="580" w:lineRule="exact"/>
        <w:ind w:left="958" w:leftChars="304" w:hanging="320" w:hangingChars="100"/>
        <w:rPr>
          <w:rFonts w:hint="eastAsia" w:ascii="黑体" w:hAnsi="黑体" w:eastAsia="黑体"/>
          <w:sz w:val="32"/>
          <w:szCs w:val="32"/>
          <w:highlight w:val="none"/>
        </w:rPr>
      </w:pPr>
      <w:r>
        <w:rPr>
          <w:rFonts w:hint="eastAsia" w:ascii="黑体" w:hAnsi="黑体" w:eastAsia="黑体" w:cs="黑体"/>
          <w:sz w:val="32"/>
          <w:szCs w:val="32"/>
          <w:highlight w:val="none"/>
          <w:lang w:eastAsia="zh-CN"/>
        </w:rPr>
        <w:t>二十四、</w:t>
      </w:r>
      <w:r>
        <w:rPr>
          <w:rFonts w:hint="eastAsia" w:ascii="黑体" w:hAnsi="黑体" w:eastAsia="黑体"/>
          <w:sz w:val="32"/>
          <w:szCs w:val="32"/>
          <w:highlight w:val="none"/>
        </w:rPr>
        <w:t>住房保障（类）住房改革（款）住房公积金</w:t>
      </w:r>
    </w:p>
    <w:p>
      <w:pPr>
        <w:spacing w:line="580" w:lineRule="exact"/>
        <w:ind w:firstLine="640" w:firstLineChars="200"/>
        <w:rPr>
          <w:rFonts w:hint="eastAsia" w:ascii="仿宋" w:hAnsi="仿宋" w:eastAsia="仿宋"/>
          <w:sz w:val="32"/>
          <w:szCs w:val="32"/>
          <w:highlight w:val="none"/>
          <w:lang w:eastAsia="zh-CN"/>
        </w:rPr>
      </w:pPr>
      <w:r>
        <w:rPr>
          <w:rFonts w:hint="eastAsia" w:ascii="仿宋" w:hAnsi="仿宋" w:eastAsia="仿宋"/>
          <w:sz w:val="32"/>
          <w:szCs w:val="32"/>
          <w:highlight w:val="none"/>
          <w:lang w:eastAsia="zh-CN"/>
        </w:rPr>
        <w:t>指威海市委统战部机关及下属单位威海市欧美同学会秘书处、威海市民族宗教事务服务中心缴纳的职工住房公积金支出。</w:t>
      </w:r>
    </w:p>
    <w:p>
      <w:pPr>
        <w:spacing w:line="580" w:lineRule="exact"/>
        <w:ind w:firstLine="640" w:firstLineChars="200"/>
        <w:rPr>
          <w:rFonts w:hint="eastAsia" w:ascii="仿宋" w:hAnsi="仿宋" w:eastAsia="仿宋"/>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01"/>
        <w:textAlignment w:val="auto"/>
        <w:rPr>
          <w:rFonts w:ascii="仿宋_GB2312" w:eastAsia="仿宋_GB2312"/>
          <w:b/>
          <w:sz w:val="32"/>
          <w:szCs w:val="32"/>
          <w:highlight w:val="none"/>
        </w:rPr>
      </w:pPr>
    </w:p>
    <w:sectPr>
      <w:pgSz w:w="11906" w:h="16838"/>
      <w:pgMar w:top="2041" w:right="1701" w:bottom="2041" w:left="1701"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Tahoma">
    <w:altName w:val="DejaVu Sans"/>
    <w:panose1 w:val="020B0604030504040204"/>
    <w:charset w:val="00"/>
    <w:family w:val="swiss"/>
    <w:pitch w:val="default"/>
    <w:sig w:usb0="00000000" w:usb1="00000000" w:usb2="00000008" w:usb3="00000000" w:csb0="200101FF" w:csb1="20280000"/>
  </w:font>
  <w:font w:name="Verdana">
    <w:altName w:val="DejaVu Sans"/>
    <w:panose1 w:val="020B0604030504040204"/>
    <w:charset w:val="00"/>
    <w:family w:val="swiss"/>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rStyle w:val="10"/>
        <w:rFonts w:hint="eastAsia"/>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9</w:t>
    </w:r>
    <w:r>
      <w:rPr>
        <w:sz w:val="24"/>
        <w:szCs w:val="24"/>
      </w:rPr>
      <w:fldChar w:fldCharType="end"/>
    </w:r>
    <w:r>
      <w:rPr>
        <w:rFonts w:hint="eastAsia"/>
        <w:sz w:val="24"/>
        <w:szCs w:val="24"/>
      </w:rPr>
      <w:t xml:space="preserve"> </w:t>
    </w:r>
    <w:r>
      <w:rPr>
        <w:rStyle w:val="10"/>
        <w:rFonts w:hint="eastAsia"/>
        <w:sz w:val="24"/>
        <w:szCs w:val="24"/>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0"/>
      </w:rPr>
    </w:pPr>
    <w:r>
      <w:fldChar w:fldCharType="begin"/>
    </w:r>
    <w:r>
      <w:rPr>
        <w:rStyle w:val="10"/>
      </w:rPr>
      <w:instrText xml:space="preserve">PAGE  </w:instrText>
    </w:r>
    <w:r>
      <w:fldChar w:fldCharType="end"/>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918758"/>
    <w:multiLevelType w:val="singleLevel"/>
    <w:tmpl w:val="BF918758"/>
    <w:lvl w:ilvl="0" w:tentative="0">
      <w:start w:val="1"/>
      <w:numFmt w:val="decimal"/>
      <w:lvlText w:val="%1."/>
      <w:lvlJc w:val="left"/>
      <w:pPr>
        <w:tabs>
          <w:tab w:val="left" w:pos="312"/>
        </w:tabs>
      </w:pPr>
    </w:lvl>
  </w:abstractNum>
  <w:abstractNum w:abstractNumId="1">
    <w:nsid w:val="3CD0E3AE"/>
    <w:multiLevelType w:val="singleLevel"/>
    <w:tmpl w:val="3CD0E3AE"/>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true"/>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RmZTZjMTUxOTc5NmRkNzE1OTI0M2E2NmY1NDMwZTkifQ=="/>
  </w:docVars>
  <w:rsids>
    <w:rsidRoot w:val="00172A27"/>
    <w:rsid w:val="0001008A"/>
    <w:rsid w:val="00010673"/>
    <w:rsid w:val="00011C7A"/>
    <w:rsid w:val="00022AAD"/>
    <w:rsid w:val="00023625"/>
    <w:rsid w:val="00030882"/>
    <w:rsid w:val="00054C69"/>
    <w:rsid w:val="000554CC"/>
    <w:rsid w:val="0005742A"/>
    <w:rsid w:val="00075A6F"/>
    <w:rsid w:val="00076236"/>
    <w:rsid w:val="00081D39"/>
    <w:rsid w:val="000A703B"/>
    <w:rsid w:val="000B54D1"/>
    <w:rsid w:val="000C3779"/>
    <w:rsid w:val="000C5088"/>
    <w:rsid w:val="000E4BB7"/>
    <w:rsid w:val="000F1C1C"/>
    <w:rsid w:val="000F26CD"/>
    <w:rsid w:val="001058DE"/>
    <w:rsid w:val="00125875"/>
    <w:rsid w:val="00144AE4"/>
    <w:rsid w:val="00157BE7"/>
    <w:rsid w:val="00164920"/>
    <w:rsid w:val="00172A27"/>
    <w:rsid w:val="00174DB6"/>
    <w:rsid w:val="00192758"/>
    <w:rsid w:val="001936DE"/>
    <w:rsid w:val="001A66D1"/>
    <w:rsid w:val="001A6D02"/>
    <w:rsid w:val="001A7F8B"/>
    <w:rsid w:val="001B7F02"/>
    <w:rsid w:val="001C3983"/>
    <w:rsid w:val="001D0BE4"/>
    <w:rsid w:val="001D1EE8"/>
    <w:rsid w:val="001E2FB2"/>
    <w:rsid w:val="001E40F8"/>
    <w:rsid w:val="001E5997"/>
    <w:rsid w:val="001E6045"/>
    <w:rsid w:val="0020356F"/>
    <w:rsid w:val="00210987"/>
    <w:rsid w:val="0023161F"/>
    <w:rsid w:val="00246875"/>
    <w:rsid w:val="00252E84"/>
    <w:rsid w:val="00281CB7"/>
    <w:rsid w:val="002911CA"/>
    <w:rsid w:val="002C146D"/>
    <w:rsid w:val="002C2328"/>
    <w:rsid w:val="002C3125"/>
    <w:rsid w:val="002D6A50"/>
    <w:rsid w:val="002E44DB"/>
    <w:rsid w:val="002F70B0"/>
    <w:rsid w:val="00300F0C"/>
    <w:rsid w:val="00307AD7"/>
    <w:rsid w:val="00320249"/>
    <w:rsid w:val="00326BEE"/>
    <w:rsid w:val="00333CC4"/>
    <w:rsid w:val="00344896"/>
    <w:rsid w:val="00357493"/>
    <w:rsid w:val="0036153A"/>
    <w:rsid w:val="00362E74"/>
    <w:rsid w:val="00375DFB"/>
    <w:rsid w:val="00377C97"/>
    <w:rsid w:val="00382B98"/>
    <w:rsid w:val="003917E8"/>
    <w:rsid w:val="00396A7C"/>
    <w:rsid w:val="00396E9A"/>
    <w:rsid w:val="003B12A8"/>
    <w:rsid w:val="003B5303"/>
    <w:rsid w:val="003C1F30"/>
    <w:rsid w:val="003E270E"/>
    <w:rsid w:val="003E7E61"/>
    <w:rsid w:val="003F19BA"/>
    <w:rsid w:val="003F51F9"/>
    <w:rsid w:val="0040574B"/>
    <w:rsid w:val="00410076"/>
    <w:rsid w:val="00413E62"/>
    <w:rsid w:val="00433164"/>
    <w:rsid w:val="00443B37"/>
    <w:rsid w:val="004463D0"/>
    <w:rsid w:val="004535AF"/>
    <w:rsid w:val="004561C5"/>
    <w:rsid w:val="00456274"/>
    <w:rsid w:val="00456E33"/>
    <w:rsid w:val="00457A00"/>
    <w:rsid w:val="00464A5A"/>
    <w:rsid w:val="00482FA0"/>
    <w:rsid w:val="00491923"/>
    <w:rsid w:val="004B1D9B"/>
    <w:rsid w:val="004B4DEE"/>
    <w:rsid w:val="004B698B"/>
    <w:rsid w:val="004C01FE"/>
    <w:rsid w:val="004C0C5F"/>
    <w:rsid w:val="004C2244"/>
    <w:rsid w:val="004C6C96"/>
    <w:rsid w:val="004F1661"/>
    <w:rsid w:val="00513FB9"/>
    <w:rsid w:val="00523619"/>
    <w:rsid w:val="00526039"/>
    <w:rsid w:val="00532FF8"/>
    <w:rsid w:val="00537128"/>
    <w:rsid w:val="0054312E"/>
    <w:rsid w:val="0054525E"/>
    <w:rsid w:val="00564CF2"/>
    <w:rsid w:val="00565B9C"/>
    <w:rsid w:val="005672CA"/>
    <w:rsid w:val="005725DE"/>
    <w:rsid w:val="0057478D"/>
    <w:rsid w:val="00585B8E"/>
    <w:rsid w:val="00586C50"/>
    <w:rsid w:val="00595BAF"/>
    <w:rsid w:val="005A45F6"/>
    <w:rsid w:val="005A7973"/>
    <w:rsid w:val="005B4E3B"/>
    <w:rsid w:val="005C3F56"/>
    <w:rsid w:val="005C4097"/>
    <w:rsid w:val="005C6857"/>
    <w:rsid w:val="005D42DE"/>
    <w:rsid w:val="005E08E7"/>
    <w:rsid w:val="005E2CB9"/>
    <w:rsid w:val="005F2614"/>
    <w:rsid w:val="005F455B"/>
    <w:rsid w:val="005F4857"/>
    <w:rsid w:val="00601E54"/>
    <w:rsid w:val="00605FC9"/>
    <w:rsid w:val="0060682E"/>
    <w:rsid w:val="0061336E"/>
    <w:rsid w:val="00613717"/>
    <w:rsid w:val="006242FD"/>
    <w:rsid w:val="0062436A"/>
    <w:rsid w:val="00627600"/>
    <w:rsid w:val="00632F83"/>
    <w:rsid w:val="006367A4"/>
    <w:rsid w:val="00647B29"/>
    <w:rsid w:val="00651441"/>
    <w:rsid w:val="006568FE"/>
    <w:rsid w:val="006635EB"/>
    <w:rsid w:val="00663871"/>
    <w:rsid w:val="00666526"/>
    <w:rsid w:val="006714BD"/>
    <w:rsid w:val="00676A2F"/>
    <w:rsid w:val="00680289"/>
    <w:rsid w:val="00696318"/>
    <w:rsid w:val="006A3F79"/>
    <w:rsid w:val="006D088E"/>
    <w:rsid w:val="006F4CF8"/>
    <w:rsid w:val="00736447"/>
    <w:rsid w:val="007365A6"/>
    <w:rsid w:val="00740EB1"/>
    <w:rsid w:val="00743021"/>
    <w:rsid w:val="00753BBD"/>
    <w:rsid w:val="00766BC8"/>
    <w:rsid w:val="007714BA"/>
    <w:rsid w:val="00782C07"/>
    <w:rsid w:val="00786CB5"/>
    <w:rsid w:val="007918FF"/>
    <w:rsid w:val="007B2057"/>
    <w:rsid w:val="007B5C17"/>
    <w:rsid w:val="007B6487"/>
    <w:rsid w:val="007C3180"/>
    <w:rsid w:val="007C7FD6"/>
    <w:rsid w:val="007E27E8"/>
    <w:rsid w:val="007F0D14"/>
    <w:rsid w:val="007F25AC"/>
    <w:rsid w:val="007F27CE"/>
    <w:rsid w:val="008060F8"/>
    <w:rsid w:val="00807D77"/>
    <w:rsid w:val="00816987"/>
    <w:rsid w:val="008210BF"/>
    <w:rsid w:val="00823DBB"/>
    <w:rsid w:val="00827E5D"/>
    <w:rsid w:val="00834DBE"/>
    <w:rsid w:val="0083589D"/>
    <w:rsid w:val="00844792"/>
    <w:rsid w:val="00844B89"/>
    <w:rsid w:val="00854246"/>
    <w:rsid w:val="00857D93"/>
    <w:rsid w:val="00860AC6"/>
    <w:rsid w:val="00865D77"/>
    <w:rsid w:val="00877BA1"/>
    <w:rsid w:val="00877DAA"/>
    <w:rsid w:val="00883A47"/>
    <w:rsid w:val="0088469B"/>
    <w:rsid w:val="0088708B"/>
    <w:rsid w:val="00887309"/>
    <w:rsid w:val="00895E6A"/>
    <w:rsid w:val="008A3366"/>
    <w:rsid w:val="008A7B7A"/>
    <w:rsid w:val="008B2FDE"/>
    <w:rsid w:val="008B7792"/>
    <w:rsid w:val="008B7B09"/>
    <w:rsid w:val="008D11E7"/>
    <w:rsid w:val="008D25F8"/>
    <w:rsid w:val="008D4BAE"/>
    <w:rsid w:val="008E09AD"/>
    <w:rsid w:val="008E4239"/>
    <w:rsid w:val="008E668C"/>
    <w:rsid w:val="008F6960"/>
    <w:rsid w:val="00913422"/>
    <w:rsid w:val="0091725F"/>
    <w:rsid w:val="00923DFF"/>
    <w:rsid w:val="009256CA"/>
    <w:rsid w:val="009263E0"/>
    <w:rsid w:val="00930D16"/>
    <w:rsid w:val="00937B2C"/>
    <w:rsid w:val="00965C3C"/>
    <w:rsid w:val="00966F76"/>
    <w:rsid w:val="00967768"/>
    <w:rsid w:val="009742D6"/>
    <w:rsid w:val="00980CD1"/>
    <w:rsid w:val="0098541F"/>
    <w:rsid w:val="00992B09"/>
    <w:rsid w:val="00993D2B"/>
    <w:rsid w:val="00996C23"/>
    <w:rsid w:val="009A1948"/>
    <w:rsid w:val="009C7F4F"/>
    <w:rsid w:val="009D43E3"/>
    <w:rsid w:val="009D6E8A"/>
    <w:rsid w:val="009E11C2"/>
    <w:rsid w:val="009E1D91"/>
    <w:rsid w:val="009E5F94"/>
    <w:rsid w:val="009E7511"/>
    <w:rsid w:val="009F1A21"/>
    <w:rsid w:val="009F3DA3"/>
    <w:rsid w:val="00A01963"/>
    <w:rsid w:val="00A10301"/>
    <w:rsid w:val="00A149B0"/>
    <w:rsid w:val="00A22D74"/>
    <w:rsid w:val="00A230E5"/>
    <w:rsid w:val="00A243FB"/>
    <w:rsid w:val="00A35FA3"/>
    <w:rsid w:val="00A44CD6"/>
    <w:rsid w:val="00A667E8"/>
    <w:rsid w:val="00A74D21"/>
    <w:rsid w:val="00A90E62"/>
    <w:rsid w:val="00A910E2"/>
    <w:rsid w:val="00A91FC6"/>
    <w:rsid w:val="00A935AF"/>
    <w:rsid w:val="00AA047B"/>
    <w:rsid w:val="00AB1FB6"/>
    <w:rsid w:val="00AD6A16"/>
    <w:rsid w:val="00AE406B"/>
    <w:rsid w:val="00AE57CB"/>
    <w:rsid w:val="00AF1036"/>
    <w:rsid w:val="00B06B96"/>
    <w:rsid w:val="00B11A86"/>
    <w:rsid w:val="00B15E4A"/>
    <w:rsid w:val="00B178ED"/>
    <w:rsid w:val="00B21243"/>
    <w:rsid w:val="00B2186A"/>
    <w:rsid w:val="00B22627"/>
    <w:rsid w:val="00B243D9"/>
    <w:rsid w:val="00B31894"/>
    <w:rsid w:val="00B330FE"/>
    <w:rsid w:val="00B4498A"/>
    <w:rsid w:val="00B50117"/>
    <w:rsid w:val="00B53C8D"/>
    <w:rsid w:val="00B55D40"/>
    <w:rsid w:val="00B64269"/>
    <w:rsid w:val="00B80B3A"/>
    <w:rsid w:val="00B9458D"/>
    <w:rsid w:val="00BA0B64"/>
    <w:rsid w:val="00BA40B9"/>
    <w:rsid w:val="00BA5FD5"/>
    <w:rsid w:val="00BB54C8"/>
    <w:rsid w:val="00BC28B5"/>
    <w:rsid w:val="00BC58D9"/>
    <w:rsid w:val="00BC76AB"/>
    <w:rsid w:val="00BC7877"/>
    <w:rsid w:val="00BD5179"/>
    <w:rsid w:val="00BD6D00"/>
    <w:rsid w:val="00BF6985"/>
    <w:rsid w:val="00C021D9"/>
    <w:rsid w:val="00C04BA3"/>
    <w:rsid w:val="00C073BC"/>
    <w:rsid w:val="00C237F4"/>
    <w:rsid w:val="00C27DE9"/>
    <w:rsid w:val="00C317B3"/>
    <w:rsid w:val="00C3322D"/>
    <w:rsid w:val="00C50B9B"/>
    <w:rsid w:val="00C56AF8"/>
    <w:rsid w:val="00C6247C"/>
    <w:rsid w:val="00C6627F"/>
    <w:rsid w:val="00C665D3"/>
    <w:rsid w:val="00C7172B"/>
    <w:rsid w:val="00C751B4"/>
    <w:rsid w:val="00C76401"/>
    <w:rsid w:val="00C87527"/>
    <w:rsid w:val="00C95BA8"/>
    <w:rsid w:val="00CA0190"/>
    <w:rsid w:val="00CA25F2"/>
    <w:rsid w:val="00CB0CFF"/>
    <w:rsid w:val="00CB1C9F"/>
    <w:rsid w:val="00CB7CE6"/>
    <w:rsid w:val="00CC2A47"/>
    <w:rsid w:val="00CC5226"/>
    <w:rsid w:val="00CC5EEF"/>
    <w:rsid w:val="00CD4A47"/>
    <w:rsid w:val="00CD63D1"/>
    <w:rsid w:val="00CE45A2"/>
    <w:rsid w:val="00CE7335"/>
    <w:rsid w:val="00D10639"/>
    <w:rsid w:val="00D14409"/>
    <w:rsid w:val="00D2241B"/>
    <w:rsid w:val="00D23D9F"/>
    <w:rsid w:val="00D4277D"/>
    <w:rsid w:val="00D72336"/>
    <w:rsid w:val="00D750D6"/>
    <w:rsid w:val="00D8708B"/>
    <w:rsid w:val="00D87A87"/>
    <w:rsid w:val="00D96EB1"/>
    <w:rsid w:val="00DB3D7E"/>
    <w:rsid w:val="00DB6AF8"/>
    <w:rsid w:val="00DC199D"/>
    <w:rsid w:val="00DD1AC2"/>
    <w:rsid w:val="00DD2FA5"/>
    <w:rsid w:val="00DD32EE"/>
    <w:rsid w:val="00DD3DF5"/>
    <w:rsid w:val="00DD5A39"/>
    <w:rsid w:val="00DF0353"/>
    <w:rsid w:val="00DF0A4C"/>
    <w:rsid w:val="00DF5E2E"/>
    <w:rsid w:val="00E073B5"/>
    <w:rsid w:val="00E1513F"/>
    <w:rsid w:val="00E22999"/>
    <w:rsid w:val="00E264DB"/>
    <w:rsid w:val="00E32584"/>
    <w:rsid w:val="00E46C7A"/>
    <w:rsid w:val="00E67C15"/>
    <w:rsid w:val="00E73FFB"/>
    <w:rsid w:val="00E753F6"/>
    <w:rsid w:val="00E85409"/>
    <w:rsid w:val="00E936F6"/>
    <w:rsid w:val="00EA2C5B"/>
    <w:rsid w:val="00EB5864"/>
    <w:rsid w:val="00EC3C36"/>
    <w:rsid w:val="00ED1A0B"/>
    <w:rsid w:val="00ED2CC0"/>
    <w:rsid w:val="00F01903"/>
    <w:rsid w:val="00F03D81"/>
    <w:rsid w:val="00F13AAB"/>
    <w:rsid w:val="00F1483D"/>
    <w:rsid w:val="00F24B62"/>
    <w:rsid w:val="00F31776"/>
    <w:rsid w:val="00F4635D"/>
    <w:rsid w:val="00F4680D"/>
    <w:rsid w:val="00F46EFE"/>
    <w:rsid w:val="00F5164E"/>
    <w:rsid w:val="00F532E5"/>
    <w:rsid w:val="00F542E5"/>
    <w:rsid w:val="00F614B8"/>
    <w:rsid w:val="00F615A1"/>
    <w:rsid w:val="00F62CB3"/>
    <w:rsid w:val="00F668DB"/>
    <w:rsid w:val="00F72F36"/>
    <w:rsid w:val="00F732B4"/>
    <w:rsid w:val="00F7416B"/>
    <w:rsid w:val="00F93C11"/>
    <w:rsid w:val="00FA7233"/>
    <w:rsid w:val="00FA7B12"/>
    <w:rsid w:val="00FB14A1"/>
    <w:rsid w:val="00FD1B3A"/>
    <w:rsid w:val="00FF5012"/>
    <w:rsid w:val="00FF68BD"/>
    <w:rsid w:val="02A47524"/>
    <w:rsid w:val="02AD265A"/>
    <w:rsid w:val="02BC2F88"/>
    <w:rsid w:val="039E07BD"/>
    <w:rsid w:val="043C178C"/>
    <w:rsid w:val="04A67776"/>
    <w:rsid w:val="055772CC"/>
    <w:rsid w:val="07790841"/>
    <w:rsid w:val="078E30F2"/>
    <w:rsid w:val="08016BA0"/>
    <w:rsid w:val="093F4ABD"/>
    <w:rsid w:val="09BF3E66"/>
    <w:rsid w:val="09FD6E09"/>
    <w:rsid w:val="0A553567"/>
    <w:rsid w:val="0BA850B2"/>
    <w:rsid w:val="0C026422"/>
    <w:rsid w:val="0C42091A"/>
    <w:rsid w:val="0EDA7570"/>
    <w:rsid w:val="0F0A1A17"/>
    <w:rsid w:val="1054407B"/>
    <w:rsid w:val="12963FCA"/>
    <w:rsid w:val="12A95864"/>
    <w:rsid w:val="12B7662E"/>
    <w:rsid w:val="13300B53"/>
    <w:rsid w:val="1332726E"/>
    <w:rsid w:val="138D2144"/>
    <w:rsid w:val="14766C9A"/>
    <w:rsid w:val="17252774"/>
    <w:rsid w:val="177002BA"/>
    <w:rsid w:val="17906BB7"/>
    <w:rsid w:val="17C73096"/>
    <w:rsid w:val="188B09C2"/>
    <w:rsid w:val="18F3345C"/>
    <w:rsid w:val="18F72DD0"/>
    <w:rsid w:val="1A4D0107"/>
    <w:rsid w:val="1AAD7844"/>
    <w:rsid w:val="1AF47930"/>
    <w:rsid w:val="1B0637E2"/>
    <w:rsid w:val="1BD2139A"/>
    <w:rsid w:val="1C6852E7"/>
    <w:rsid w:val="1D2F085D"/>
    <w:rsid w:val="1F126FCC"/>
    <w:rsid w:val="2042019C"/>
    <w:rsid w:val="20C47749"/>
    <w:rsid w:val="21881369"/>
    <w:rsid w:val="235023DB"/>
    <w:rsid w:val="244611C8"/>
    <w:rsid w:val="24B6038F"/>
    <w:rsid w:val="26510D83"/>
    <w:rsid w:val="2745657B"/>
    <w:rsid w:val="27AD7BC0"/>
    <w:rsid w:val="29AE62C8"/>
    <w:rsid w:val="2C4A6D54"/>
    <w:rsid w:val="2DFB0DE9"/>
    <w:rsid w:val="2E4F7092"/>
    <w:rsid w:val="30BF083E"/>
    <w:rsid w:val="31AE2B66"/>
    <w:rsid w:val="31E24777"/>
    <w:rsid w:val="32E02AF6"/>
    <w:rsid w:val="3365779C"/>
    <w:rsid w:val="338378A0"/>
    <w:rsid w:val="339B1B33"/>
    <w:rsid w:val="35351E70"/>
    <w:rsid w:val="368469D5"/>
    <w:rsid w:val="38160AC4"/>
    <w:rsid w:val="384A0317"/>
    <w:rsid w:val="39C135D1"/>
    <w:rsid w:val="3AD75BD9"/>
    <w:rsid w:val="3AFA1904"/>
    <w:rsid w:val="3BC4391B"/>
    <w:rsid w:val="3BE924EE"/>
    <w:rsid w:val="3D354CED"/>
    <w:rsid w:val="3D5A02ED"/>
    <w:rsid w:val="3DA5537B"/>
    <w:rsid w:val="3E352B6E"/>
    <w:rsid w:val="3E99177D"/>
    <w:rsid w:val="3EF83AD7"/>
    <w:rsid w:val="400F3041"/>
    <w:rsid w:val="43037D72"/>
    <w:rsid w:val="45677083"/>
    <w:rsid w:val="45C447DC"/>
    <w:rsid w:val="4632053B"/>
    <w:rsid w:val="4645644E"/>
    <w:rsid w:val="46F4004E"/>
    <w:rsid w:val="47316590"/>
    <w:rsid w:val="47436737"/>
    <w:rsid w:val="47CE7AEC"/>
    <w:rsid w:val="484D76BB"/>
    <w:rsid w:val="48570546"/>
    <w:rsid w:val="49470E56"/>
    <w:rsid w:val="4ABC3DE0"/>
    <w:rsid w:val="4AEA112C"/>
    <w:rsid w:val="4BEA587F"/>
    <w:rsid w:val="4CDA55E2"/>
    <w:rsid w:val="4ED905C4"/>
    <w:rsid w:val="4FC23D9D"/>
    <w:rsid w:val="52C864C7"/>
    <w:rsid w:val="565454FA"/>
    <w:rsid w:val="58092748"/>
    <w:rsid w:val="59F2587C"/>
    <w:rsid w:val="59F54ADB"/>
    <w:rsid w:val="5ABA0C40"/>
    <w:rsid w:val="5B4B3A35"/>
    <w:rsid w:val="5BF50EA6"/>
    <w:rsid w:val="5CCB2916"/>
    <w:rsid w:val="5E3E3239"/>
    <w:rsid w:val="5EC0240A"/>
    <w:rsid w:val="5FD823BE"/>
    <w:rsid w:val="60E43825"/>
    <w:rsid w:val="622F1706"/>
    <w:rsid w:val="63265900"/>
    <w:rsid w:val="64192F0D"/>
    <w:rsid w:val="64863537"/>
    <w:rsid w:val="652E0E9F"/>
    <w:rsid w:val="65C9315F"/>
    <w:rsid w:val="671201AB"/>
    <w:rsid w:val="68CC1E4A"/>
    <w:rsid w:val="6C3577AD"/>
    <w:rsid w:val="6CC75963"/>
    <w:rsid w:val="6D5D6F2D"/>
    <w:rsid w:val="6E32082C"/>
    <w:rsid w:val="6F7C1C99"/>
    <w:rsid w:val="6F9B3169"/>
    <w:rsid w:val="72802F4E"/>
    <w:rsid w:val="73DA0C11"/>
    <w:rsid w:val="73ED2B4A"/>
    <w:rsid w:val="74187C5B"/>
    <w:rsid w:val="76131E23"/>
    <w:rsid w:val="763F639A"/>
    <w:rsid w:val="76933F6C"/>
    <w:rsid w:val="775774EF"/>
    <w:rsid w:val="783E22E2"/>
    <w:rsid w:val="7999290D"/>
    <w:rsid w:val="7BB37E5E"/>
    <w:rsid w:val="7C3739EA"/>
    <w:rsid w:val="7FC200D1"/>
    <w:rsid w:val="7FDF7672"/>
    <w:rsid w:val="8FE58F00"/>
    <w:rsid w:val="9BC7F6C9"/>
    <w:rsid w:val="9FBA184C"/>
    <w:rsid w:val="CBFF4E4E"/>
    <w:rsid w:val="D5FE5866"/>
    <w:rsid w:val="D9DC90E7"/>
    <w:rsid w:val="DF9B6C72"/>
    <w:rsid w:val="FBDC17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7"/>
    <w:qFormat/>
    <w:uiPriority w:val="0"/>
    <w:pPr>
      <w:jc w:val="left"/>
    </w:pPr>
  </w:style>
  <w:style w:type="paragraph" w:styleId="3">
    <w:name w:val="Date"/>
    <w:basedOn w:val="1"/>
    <w:next w:val="1"/>
    <w:link w:val="26"/>
    <w:semiHidden/>
    <w:unhideWhenUsed/>
    <w:qFormat/>
    <w:uiPriority w:val="0"/>
    <w:pPr>
      <w:ind w:left="100" w:leftChars="2500"/>
    </w:pPr>
  </w:style>
  <w:style w:type="paragraph" w:styleId="4">
    <w:name w:val="Balloon Text"/>
    <w:basedOn w:val="1"/>
    <w:semiHidden/>
    <w:qFormat/>
    <w:uiPriority w:val="0"/>
    <w:rPr>
      <w:sz w:val="18"/>
      <w:szCs w:val="18"/>
    </w:rPr>
  </w:style>
  <w:style w:type="paragraph" w:styleId="5">
    <w:name w:val="footer"/>
    <w:basedOn w:val="1"/>
    <w:link w:val="18"/>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annotation subject"/>
    <w:basedOn w:val="2"/>
    <w:next w:val="2"/>
    <w:link w:val="19"/>
    <w:qFormat/>
    <w:uiPriority w:val="0"/>
    <w:rPr>
      <w:b/>
      <w:bCs/>
    </w:rPr>
  </w:style>
  <w:style w:type="character" w:styleId="10">
    <w:name w:val="page number"/>
    <w:basedOn w:val="9"/>
    <w:qFormat/>
    <w:uiPriority w:val="0"/>
  </w:style>
  <w:style w:type="character" w:styleId="11">
    <w:name w:val="annotation reference"/>
    <w:qFormat/>
    <w:uiPriority w:val="0"/>
    <w:rPr>
      <w:sz w:val="21"/>
      <w:szCs w:val="21"/>
    </w:rPr>
  </w:style>
  <w:style w:type="paragraph" w:customStyle="1" w:styleId="12">
    <w:name w:val="p0"/>
    <w:basedOn w:val="1"/>
    <w:qFormat/>
    <w:uiPriority w:val="0"/>
    <w:pPr>
      <w:widowControl/>
    </w:pPr>
    <w:rPr>
      <w:kern w:val="0"/>
      <w:szCs w:val="21"/>
    </w:rPr>
  </w:style>
  <w:style w:type="paragraph" w:customStyle="1" w:styleId="13">
    <w:name w:val="Char Char"/>
    <w:basedOn w:val="1"/>
    <w:qFormat/>
    <w:uiPriority w:val="0"/>
    <w:rPr>
      <w:rFonts w:ascii="Tahoma" w:hAnsi="Tahoma"/>
      <w:sz w:val="24"/>
      <w:szCs w:val="20"/>
    </w:rPr>
  </w:style>
  <w:style w:type="paragraph" w:customStyle="1" w:styleId="14">
    <w:name w:val="Char Char Char Char Char Char Char Char Char Char Char Char Char Char Char Char"/>
    <w:basedOn w:val="1"/>
    <w:qFormat/>
    <w:uiPriority w:val="0"/>
    <w:pPr>
      <w:tabs>
        <w:tab w:val="left" w:pos="360"/>
      </w:tabs>
    </w:pPr>
    <w:rPr>
      <w:sz w:val="24"/>
    </w:rPr>
  </w:style>
  <w:style w:type="paragraph" w:customStyle="1" w:styleId="15">
    <w:name w:val="Char Char Char Char1 Char Char Char Char Char Char Char Char Char Char Char Char Char Char Char Char Char"/>
    <w:basedOn w:val="1"/>
    <w:qFormat/>
    <w:uiPriority w:val="0"/>
    <w:pPr>
      <w:widowControl/>
      <w:spacing w:after="160" w:line="240" w:lineRule="exact"/>
      <w:ind w:firstLine="980" w:firstLineChars="350"/>
      <w:jc w:val="left"/>
    </w:pPr>
    <w:rPr>
      <w:rFonts w:ascii="Verdana" w:hAnsi="Verdana" w:eastAsia="仿宋_GB2312"/>
      <w:kern w:val="0"/>
      <w:sz w:val="28"/>
      <w:szCs w:val="28"/>
      <w:lang w:eastAsia="en-US"/>
    </w:rPr>
  </w:style>
  <w:style w:type="paragraph" w:customStyle="1" w:styleId="16">
    <w:name w:val="_Style 14"/>
    <w:semiHidden/>
    <w:qFormat/>
    <w:uiPriority w:val="99"/>
    <w:rPr>
      <w:rFonts w:ascii="Times New Roman" w:hAnsi="Times New Roman" w:eastAsia="宋体" w:cs="Times New Roman"/>
      <w:kern w:val="2"/>
      <w:sz w:val="21"/>
      <w:szCs w:val="24"/>
      <w:lang w:val="en-US" w:eastAsia="zh-CN" w:bidi="ar-SA"/>
    </w:rPr>
  </w:style>
  <w:style w:type="character" w:customStyle="1" w:styleId="17">
    <w:name w:val="批注文字 字符"/>
    <w:link w:val="2"/>
    <w:qFormat/>
    <w:uiPriority w:val="0"/>
    <w:rPr>
      <w:kern w:val="2"/>
      <w:sz w:val="21"/>
      <w:szCs w:val="24"/>
    </w:rPr>
  </w:style>
  <w:style w:type="character" w:customStyle="1" w:styleId="18">
    <w:name w:val="页脚 字符"/>
    <w:link w:val="5"/>
    <w:qFormat/>
    <w:uiPriority w:val="99"/>
    <w:rPr>
      <w:kern w:val="2"/>
      <w:sz w:val="18"/>
      <w:szCs w:val="18"/>
    </w:rPr>
  </w:style>
  <w:style w:type="character" w:customStyle="1" w:styleId="19">
    <w:name w:val="批注主题 字符"/>
    <w:link w:val="7"/>
    <w:qFormat/>
    <w:uiPriority w:val="0"/>
    <w:rPr>
      <w:b/>
      <w:bCs/>
      <w:kern w:val="2"/>
      <w:sz w:val="21"/>
      <w:szCs w:val="24"/>
    </w:rPr>
  </w:style>
  <w:style w:type="paragraph" w:customStyle="1" w:styleId="20">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21">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22">
    <w:name w:val="font131"/>
    <w:basedOn w:val="9"/>
    <w:qFormat/>
    <w:uiPriority w:val="0"/>
    <w:rPr>
      <w:rFonts w:hint="eastAsia" w:ascii="黑体" w:hAnsi="宋体" w:eastAsia="黑体" w:cs="黑体"/>
      <w:color w:val="000000"/>
      <w:sz w:val="20"/>
      <w:szCs w:val="20"/>
      <w:u w:val="none"/>
    </w:rPr>
  </w:style>
  <w:style w:type="character" w:customStyle="1" w:styleId="23">
    <w:name w:val="font151"/>
    <w:basedOn w:val="9"/>
    <w:qFormat/>
    <w:uiPriority w:val="0"/>
    <w:rPr>
      <w:rFonts w:hint="eastAsia" w:ascii="黑体" w:hAnsi="宋体" w:eastAsia="黑体" w:cs="黑体"/>
      <w:color w:val="000000"/>
      <w:sz w:val="18"/>
      <w:szCs w:val="18"/>
      <w:u w:val="none"/>
    </w:rPr>
  </w:style>
  <w:style w:type="character" w:customStyle="1" w:styleId="24">
    <w:name w:val="font121"/>
    <w:basedOn w:val="9"/>
    <w:qFormat/>
    <w:uiPriority w:val="0"/>
    <w:rPr>
      <w:rFonts w:hint="eastAsia" w:ascii="黑体" w:hAnsi="宋体" w:eastAsia="黑体" w:cs="黑体"/>
      <w:color w:val="000000"/>
      <w:sz w:val="16"/>
      <w:szCs w:val="16"/>
      <w:u w:val="none"/>
    </w:rPr>
  </w:style>
  <w:style w:type="character" w:customStyle="1" w:styleId="25">
    <w:name w:val="font141"/>
    <w:basedOn w:val="9"/>
    <w:qFormat/>
    <w:uiPriority w:val="0"/>
    <w:rPr>
      <w:rFonts w:hint="eastAsia" w:ascii="黑体" w:hAnsi="宋体" w:eastAsia="黑体" w:cs="黑体"/>
      <w:color w:val="000000"/>
      <w:sz w:val="14"/>
      <w:szCs w:val="14"/>
      <w:u w:val="none"/>
    </w:rPr>
  </w:style>
  <w:style w:type="character" w:customStyle="1" w:styleId="26">
    <w:name w:val="日期 字符"/>
    <w:basedOn w:val="9"/>
    <w:link w:val="3"/>
    <w:semiHidden/>
    <w:qFormat/>
    <w:uiPriority w:val="0"/>
    <w:rPr>
      <w:kern w:val="2"/>
      <w:sz w:val="21"/>
      <w:szCs w:val="24"/>
    </w:rPr>
  </w:style>
  <w:style w:type="paragraph" w:customStyle="1" w:styleId="27">
    <w:name w:val="Revision"/>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XLSX%20&#24037;&#20316;&#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XLSX%20&#24037;&#20316;&#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mn-lt"/>
                <a:ea typeface="+mn-ea"/>
                <a:cs typeface="+mn-cs"/>
              </a:defRPr>
            </a:pPr>
            <a:r>
              <a:t>收入构成情况</a:t>
            </a:r>
          </a:p>
        </c:rich>
      </c:tx>
      <c:layout/>
      <c:overlay val="false"/>
      <c:spPr>
        <a:noFill/>
        <a:ln>
          <a:noFill/>
        </a:ln>
        <a:effectLst/>
      </c:spPr>
    </c:title>
    <c:autoTitleDeleted val="false"/>
    <c:plotArea>
      <c:layout/>
      <c:pieChart>
        <c:varyColors val="true"/>
        <c:ser>
          <c:idx val="0"/>
          <c:order val="0"/>
          <c:spPr/>
          <c:explosion val="0"/>
          <c:dPt>
            <c:idx val="0"/>
            <c:bubble3D val="false"/>
            <c:spPr>
              <a:solidFill>
                <a:schemeClr val="accent1"/>
              </a:solidFill>
              <a:ln w="19050">
                <a:solidFill>
                  <a:schemeClr val="lt1"/>
                </a:solidFill>
              </a:ln>
              <a:effectLst/>
            </c:spPr>
          </c:dPt>
          <c:dPt>
            <c:idx val="1"/>
            <c:bubble3D val="false"/>
            <c:spPr>
              <a:solidFill>
                <a:schemeClr val="accent2"/>
              </a:solidFill>
              <a:ln w="19050">
                <a:solidFill>
                  <a:schemeClr val="lt1"/>
                </a:solidFill>
              </a:ln>
              <a:effectLst/>
            </c:spPr>
          </c:dPt>
          <c:dPt>
            <c:idx val="2"/>
            <c:bubble3D val="false"/>
            <c:spPr>
              <a:solidFill>
                <a:schemeClr val="accent3"/>
              </a:solidFill>
              <a:ln w="19050">
                <a:solidFill>
                  <a:schemeClr val="lt1"/>
                </a:solidFill>
              </a:ln>
              <a:effectLst/>
            </c:spPr>
          </c:dPt>
          <c:dPt>
            <c:idx val="3"/>
            <c:bubble3D val="false"/>
            <c:spPr>
              <a:solidFill>
                <a:schemeClr val="accent4"/>
              </a:solidFill>
              <a:ln w="19050">
                <a:solidFill>
                  <a:schemeClr val="lt1"/>
                </a:solidFill>
              </a:ln>
              <a:effectLst/>
            </c:spPr>
          </c:dPt>
          <c:dPt>
            <c:idx val="4"/>
            <c:bubble3D val="false"/>
            <c:spPr>
              <a:solidFill>
                <a:schemeClr val="accent5"/>
              </a:solidFill>
              <a:ln w="19050">
                <a:solidFill>
                  <a:schemeClr val="lt1"/>
                </a:solidFill>
              </a:ln>
              <a:effectLst/>
            </c:spPr>
          </c:dPt>
          <c:dPt>
            <c:idx val="5"/>
            <c:bubble3D val="false"/>
            <c:spPr>
              <a:solidFill>
                <a:schemeClr val="accent6"/>
              </a:solidFill>
              <a:ln w="19050">
                <a:solidFill>
                  <a:schemeClr val="lt1"/>
                </a:solidFill>
              </a:ln>
              <a:effectLst/>
            </c:spPr>
          </c:dPt>
          <c:dPt>
            <c:idx val="6"/>
            <c:bubble3D val="false"/>
            <c:spPr>
              <a:solidFill>
                <a:schemeClr val="accent1">
                  <a:lumMod val="60000"/>
                </a:schemeClr>
              </a:solidFill>
              <a:ln w="19050">
                <a:solidFill>
                  <a:schemeClr val="lt1"/>
                </a:solidFill>
              </a:ln>
              <a:effectLst/>
            </c:spPr>
          </c:dPt>
          <c:dPt>
            <c:idx val="7"/>
            <c:bubble3D val="false"/>
            <c:spPr>
              <a:solidFill>
                <a:schemeClr val="accent2">
                  <a:lumMod val="60000"/>
                </a:schemeClr>
              </a:solidFill>
              <a:ln w="19050">
                <a:solidFill>
                  <a:schemeClr val="lt1"/>
                </a:solidFill>
              </a:ln>
              <a:effectLst/>
            </c:spPr>
          </c:dPt>
          <c:dPt>
            <c:idx val="8"/>
            <c:bubble3D val="false"/>
            <c:spPr>
              <a:solidFill>
                <a:schemeClr val="accent3">
                  <a:lumMod val="60000"/>
                </a:schemeClr>
              </a:solidFill>
              <a:ln w="19050">
                <a:solidFill>
                  <a:schemeClr val="lt1"/>
                </a:solidFill>
              </a:ln>
              <a:effectLst/>
            </c:spPr>
          </c:dPt>
          <c:dPt>
            <c:idx val="9"/>
            <c:bubble3D val="false"/>
            <c:spPr>
              <a:solidFill>
                <a:schemeClr val="accent4">
                  <a:lumMod val="60000"/>
                </a:schemeClr>
              </a:solidFill>
              <a:ln w="19050">
                <a:solidFill>
                  <a:schemeClr val="lt1"/>
                </a:solidFill>
              </a:ln>
              <a:effectLst/>
            </c:spPr>
          </c:dPt>
          <c:dPt>
            <c:idx val="10"/>
            <c:bubble3D val="false"/>
            <c:spPr>
              <a:solidFill>
                <a:schemeClr val="accent5">
                  <a:lumMod val="60000"/>
                </a:schemeClr>
              </a:solidFill>
              <a:ln w="19050">
                <a:solidFill>
                  <a:schemeClr val="lt1"/>
                </a:solidFill>
              </a:ln>
              <a:effectLst/>
            </c:spPr>
          </c:dPt>
          <c:dLbls>
            <c:delete val="true"/>
          </c:dLbls>
          <c:cat>
            <c:strRef>
              <c:f>'[新建 XLSX 工作表.xlsx]Sheet1'!$A$2:$A$12</c:f>
              <c:strCache>
                <c:ptCount val="11"/>
                <c:pt idx="0">
                  <c:v>一般公共预算收入100%</c:v>
                </c:pt>
                <c:pt idx="1">
                  <c:v>政府性基金预算收入0</c:v>
                </c:pt>
                <c:pt idx="2">
                  <c:v>国有资本经营预算收入0</c:v>
                </c:pt>
                <c:pt idx="3">
                  <c:v>财政专户管理资金收入0</c:v>
                </c:pt>
                <c:pt idx="4">
                  <c:v>事业收入0</c:v>
                </c:pt>
                <c:pt idx="5">
                  <c:v>事业单位经营收入0</c:v>
                </c:pt>
                <c:pt idx="6">
                  <c:v>上级补助收入0</c:v>
                </c:pt>
                <c:pt idx="7">
                  <c:v>附属单位上缴收入0</c:v>
                </c:pt>
                <c:pt idx="8">
                  <c:v>其他收入0</c:v>
                </c:pt>
                <c:pt idx="9">
                  <c:v>使用非财政拨款结余0</c:v>
                </c:pt>
                <c:pt idx="10">
                  <c:v>上年结转0</c:v>
                </c:pt>
              </c:strCache>
            </c:strRef>
          </c:cat>
          <c:val>
            <c:numRef>
              <c:f>'[新建 XLSX 工作表.xlsx]Sheet1'!$B$2:$B$12</c:f>
              <c:numCache>
                <c:formatCode>General</c:formatCode>
                <c:ptCount val="11"/>
                <c:pt idx="0">
                  <c:v>116.42</c:v>
                </c:pt>
                <c:pt idx="1">
                  <c:v>0</c:v>
                </c:pt>
                <c:pt idx="2">
                  <c:v>0</c:v>
                </c:pt>
                <c:pt idx="3">
                  <c:v>0</c:v>
                </c:pt>
                <c:pt idx="4">
                  <c:v>0</c:v>
                </c:pt>
                <c:pt idx="5">
                  <c:v>0</c:v>
                </c:pt>
                <c:pt idx="6">
                  <c:v>0</c:v>
                </c:pt>
                <c:pt idx="7">
                  <c:v>0</c:v>
                </c:pt>
                <c:pt idx="8">
                  <c:v>0</c:v>
                </c:pt>
                <c:pt idx="9">
                  <c:v>0</c:v>
                </c:pt>
                <c:pt idx="10">
                  <c:v>0</c:v>
                </c:pt>
              </c:numCache>
            </c:numRef>
          </c:val>
        </c:ser>
        <c:dLbls>
          <c:showLegendKey val="false"/>
          <c:showVal val="false"/>
          <c:showCatName val="false"/>
          <c:showSerName val="false"/>
          <c:showPercent val="false"/>
          <c:showBubbleSize val="false"/>
          <c:showLeaderLines val="true"/>
        </c:dLbls>
        <c:firstSliceAng val="0"/>
      </c:pieChart>
      <c:spPr>
        <a:noFill/>
        <a:ln>
          <a:noFill/>
        </a:ln>
        <a:effectLst/>
      </c:spPr>
    </c:plotArea>
    <c:legend>
      <c:legendPos val="b"/>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mn-lt"/>
                <a:ea typeface="+mn-ea"/>
                <a:cs typeface="+mn-cs"/>
              </a:defRPr>
            </a:pPr>
            <a:r>
              <a:t>支出项目构成情况表</a:t>
            </a:r>
          </a:p>
        </c:rich>
      </c:tx>
      <c:layout/>
      <c:overlay val="false"/>
      <c:spPr>
        <a:noFill/>
        <a:ln>
          <a:noFill/>
        </a:ln>
        <a:effectLst/>
      </c:spPr>
    </c:title>
    <c:autoTitleDeleted val="false"/>
    <c:plotArea>
      <c:layout/>
      <c:pieChart>
        <c:varyColors val="true"/>
        <c:ser>
          <c:idx val="0"/>
          <c:order val="0"/>
          <c:spPr/>
          <c:explosion val="0"/>
          <c:dPt>
            <c:idx val="0"/>
            <c:bubble3D val="false"/>
            <c:spPr>
              <a:solidFill>
                <a:schemeClr val="accent1"/>
              </a:solidFill>
              <a:ln w="19050">
                <a:solidFill>
                  <a:schemeClr val="lt1"/>
                </a:solidFill>
              </a:ln>
              <a:effectLst/>
            </c:spPr>
          </c:dPt>
          <c:dPt>
            <c:idx val="1"/>
            <c:bubble3D val="false"/>
            <c:spPr>
              <a:solidFill>
                <a:schemeClr val="accent2"/>
              </a:solidFill>
              <a:ln w="19050">
                <a:solidFill>
                  <a:schemeClr val="lt1"/>
                </a:solidFill>
              </a:ln>
              <a:effectLst/>
            </c:spPr>
          </c:dPt>
          <c:dLbls>
            <c:delete val="true"/>
          </c:dLbls>
          <c:cat>
            <c:strRef>
              <c:f>'[新建 XLSX 工作表.xlsx]Sheet1'!$A$15:$A$16</c:f>
              <c:strCache>
                <c:ptCount val="2"/>
                <c:pt idx="0">
                  <c:v>基本支出70.73%</c:v>
                </c:pt>
                <c:pt idx="1">
                  <c:v>项目支出29.27%</c:v>
                </c:pt>
              </c:strCache>
            </c:strRef>
          </c:cat>
          <c:val>
            <c:numRef>
              <c:f>'[新建 XLSX 工作表.xlsx]Sheet1'!$B$15:$B$16</c:f>
              <c:numCache>
                <c:formatCode>0.00%</c:formatCode>
                <c:ptCount val="2"/>
                <c:pt idx="0">
                  <c:v>0.7073</c:v>
                </c:pt>
                <c:pt idx="1">
                  <c:v>0.2927</c:v>
                </c:pt>
              </c:numCache>
            </c:numRef>
          </c:val>
        </c:ser>
        <c:dLbls>
          <c:showLegendKey val="false"/>
          <c:showVal val="false"/>
          <c:showCatName val="false"/>
          <c:showSerName val="false"/>
          <c:showPercent val="false"/>
          <c:showBubbleSize val="false"/>
          <c:showLeaderLines val="true"/>
        </c:dLbls>
        <c:firstSliceAng val="0"/>
      </c:pieChart>
      <c:spPr>
        <a:noFill/>
        <a:ln>
          <a:noFill/>
        </a:ln>
        <a:effectLst/>
      </c:spPr>
    </c:plotArea>
    <c:legend>
      <c:legendPos val="b"/>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40</Pages>
  <Words>8886</Words>
  <Characters>11254</Characters>
  <Lines>88</Lines>
  <Paragraphs>24</Paragraphs>
  <TotalTime>0</TotalTime>
  <ScaleCrop>false</ScaleCrop>
  <LinksUpToDate>false</LinksUpToDate>
  <CharactersWithSpaces>12380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2022-02-17T14:57:00Z</dcterms:created>
  <dc:creator>Li</dc:creator>
  <cp:lastModifiedBy>user</cp:lastModifiedBy>
  <cp:lastPrinted>2022-02-11T15:12:00Z</cp:lastPrinted>
  <dcterms:modified xsi:type="dcterms:W3CDTF">2023-11-02T18:00:08Z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326EC645A0CB48D482E8B2A6DB851EB2</vt:lpwstr>
  </property>
</Properties>
</file>