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right"/>
        <w:rPr>
          <w:rFonts w:ascii="黑体" w:hAnsi="黑体" w:eastAsia="黑体"/>
          <w:sz w:val="32"/>
          <w:szCs w:val="32"/>
        </w:rPr>
      </w:pPr>
    </w:p>
    <w:p>
      <w:pPr>
        <w:spacing w:line="580" w:lineRule="exact"/>
        <w:jc w:val="right"/>
        <w:rPr>
          <w:rFonts w:ascii="黑体" w:hAnsi="黑体" w:eastAsia="黑体"/>
          <w:sz w:val="32"/>
          <w:szCs w:val="32"/>
        </w:rPr>
      </w:pPr>
    </w:p>
    <w:p>
      <w:pPr>
        <w:jc w:val="center"/>
        <w:rPr>
          <w:rFonts w:ascii="方正小标宋简体" w:eastAsia="方正小标宋简体"/>
          <w:sz w:val="52"/>
          <w:szCs w:val="52"/>
        </w:rPr>
      </w:pPr>
    </w:p>
    <w:p>
      <w:pPr>
        <w:jc w:val="center"/>
        <w:rPr>
          <w:rFonts w:ascii="方正小标宋简体" w:eastAsia="方正小标宋简体"/>
          <w:sz w:val="52"/>
          <w:szCs w:val="52"/>
        </w:rPr>
      </w:pPr>
    </w:p>
    <w:p>
      <w:pPr>
        <w:jc w:val="center"/>
        <w:rPr>
          <w:rFonts w:ascii="方正小标宋简体" w:eastAsia="方正小标宋简体"/>
          <w:sz w:val="52"/>
          <w:szCs w:val="52"/>
        </w:rPr>
      </w:pPr>
    </w:p>
    <w:p>
      <w:pPr>
        <w:jc w:val="center"/>
        <w:rPr>
          <w:rFonts w:hint="eastAsia" w:ascii="方正小标宋简体" w:eastAsia="方正小标宋简体"/>
          <w:sz w:val="52"/>
          <w:szCs w:val="52"/>
          <w:lang w:eastAsia="zh-CN"/>
        </w:rPr>
      </w:pPr>
      <w:r>
        <w:rPr>
          <w:rFonts w:hint="eastAsia" w:ascii="方正小标宋简体" w:eastAsia="方正小标宋简体"/>
          <w:sz w:val="52"/>
          <w:szCs w:val="52"/>
          <w:lang w:eastAsia="zh-CN"/>
        </w:rPr>
        <w:t>2023</w:t>
      </w:r>
      <w:r>
        <w:rPr>
          <w:rFonts w:hint="eastAsia" w:ascii="方正小标宋简体" w:eastAsia="方正小标宋简体"/>
          <w:sz w:val="52"/>
          <w:szCs w:val="52"/>
        </w:rPr>
        <w:t>年</w:t>
      </w:r>
      <w:r>
        <w:rPr>
          <w:rFonts w:hint="eastAsia" w:ascii="方正小标宋简体" w:eastAsia="方正小标宋简体"/>
          <w:sz w:val="52"/>
          <w:szCs w:val="52"/>
          <w:lang w:eastAsia="zh-CN"/>
        </w:rPr>
        <w:t>威海市欧美同学会秘书处</w:t>
      </w:r>
    </w:p>
    <w:p>
      <w:pPr>
        <w:jc w:val="center"/>
        <w:rPr>
          <w:rFonts w:ascii="方正小标宋简体" w:eastAsia="方正小标宋简体"/>
          <w:sz w:val="52"/>
          <w:szCs w:val="52"/>
        </w:rPr>
      </w:pPr>
      <w:r>
        <w:rPr>
          <w:rFonts w:hint="eastAsia" w:ascii="方正小标宋简体" w:eastAsia="方正小标宋简体"/>
          <w:sz w:val="52"/>
          <w:szCs w:val="52"/>
          <w:lang w:eastAsia="zh-CN"/>
        </w:rPr>
        <w:t>单位</w:t>
      </w:r>
      <w:r>
        <w:rPr>
          <w:rFonts w:hint="eastAsia" w:ascii="方正小标宋简体" w:eastAsia="方正小标宋简体"/>
          <w:sz w:val="52"/>
          <w:szCs w:val="52"/>
        </w:rPr>
        <w:t>预算</w:t>
      </w:r>
    </w:p>
    <w:p>
      <w:pPr>
        <w:jc w:val="center"/>
        <w:rPr>
          <w:rFonts w:ascii="方正小标宋简体" w:eastAsia="方正小标宋简体"/>
          <w:sz w:val="52"/>
          <w:szCs w:val="52"/>
        </w:rP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spacing w:line="580" w:lineRule="exact"/>
        <w:jc w:val="center"/>
        <w:rPr>
          <w:rFonts w:ascii="黑体" w:eastAsia="黑体"/>
          <w:sz w:val="44"/>
          <w:szCs w:val="44"/>
        </w:rPr>
      </w:pPr>
      <w:r>
        <w:br w:type="page"/>
      </w:r>
      <w:r>
        <w:rPr>
          <w:rFonts w:hint="eastAsia" w:ascii="黑体" w:eastAsia="黑体"/>
          <w:sz w:val="44"/>
          <w:szCs w:val="44"/>
        </w:rPr>
        <w:t>目  录</w:t>
      </w:r>
    </w:p>
    <w:p>
      <w:pPr>
        <w:spacing w:line="580" w:lineRule="exact"/>
        <w:rPr>
          <w:rFonts w:ascii="黑体" w:eastAsia="黑体"/>
          <w:sz w:val="36"/>
          <w:szCs w:val="36"/>
        </w:rPr>
      </w:pPr>
      <w:r>
        <w:rPr>
          <w:rFonts w:hint="eastAsia" w:ascii="黑体" w:eastAsia="黑体"/>
          <w:sz w:val="36"/>
          <w:szCs w:val="36"/>
        </w:rPr>
        <w:t>第一部分</w:t>
      </w:r>
      <w:r>
        <w:rPr>
          <w:rFonts w:hint="eastAsia" w:ascii="黑体" w:hAnsi="黑体" w:eastAsia="黑体"/>
          <w:sz w:val="36"/>
          <w:szCs w:val="36"/>
        </w:rPr>
        <w:t xml:space="preserve"> </w:t>
      </w:r>
      <w:r>
        <w:rPr>
          <w:rFonts w:hint="eastAsia" w:ascii="黑体" w:eastAsia="黑体"/>
          <w:sz w:val="36"/>
          <w:szCs w:val="36"/>
        </w:rPr>
        <w:t>单位概况</w:t>
      </w:r>
    </w:p>
    <w:p>
      <w:pPr>
        <w:spacing w:line="580" w:lineRule="exact"/>
        <w:ind w:firstLine="640" w:firstLineChars="200"/>
        <w:rPr>
          <w:rFonts w:hint="eastAsia" w:ascii="楷体_GB2312" w:eastAsia="楷体_GB2312"/>
          <w:sz w:val="32"/>
          <w:szCs w:val="32"/>
          <w:lang w:eastAsia="zh-CN"/>
        </w:rPr>
      </w:pPr>
      <w:r>
        <w:rPr>
          <w:rFonts w:hint="eastAsia" w:ascii="楷体_GB2312" w:eastAsia="楷体_GB2312"/>
          <w:sz w:val="32"/>
          <w:szCs w:val="32"/>
        </w:rPr>
        <w:t>一、主要</w:t>
      </w:r>
      <w:r>
        <w:rPr>
          <w:rFonts w:hint="eastAsia" w:ascii="楷体_GB2312" w:eastAsia="楷体_GB2312"/>
          <w:sz w:val="32"/>
          <w:szCs w:val="32"/>
          <w:lang w:val="en-US" w:eastAsia="zh-CN"/>
        </w:rPr>
        <w:t>职能</w:t>
      </w:r>
    </w:p>
    <w:p>
      <w:pPr>
        <w:spacing w:line="580" w:lineRule="exact"/>
        <w:ind w:firstLine="640" w:firstLineChars="200"/>
        <w:rPr>
          <w:rFonts w:hint="default" w:ascii="楷体_GB2312" w:eastAsia="楷体_GB2312"/>
          <w:sz w:val="32"/>
          <w:szCs w:val="32"/>
          <w:lang w:val="en-US" w:eastAsia="zh-CN"/>
        </w:rPr>
      </w:pPr>
      <w:r>
        <w:rPr>
          <w:rFonts w:hint="eastAsia" w:ascii="楷体_GB2312" w:eastAsia="楷体_GB2312"/>
          <w:sz w:val="32"/>
          <w:szCs w:val="32"/>
        </w:rPr>
        <w:t>二、</w:t>
      </w:r>
      <w:r>
        <w:rPr>
          <w:rFonts w:hint="eastAsia" w:ascii="楷体_GB2312" w:eastAsia="楷体_GB2312"/>
          <w:sz w:val="32"/>
          <w:szCs w:val="32"/>
          <w:lang w:val="en-US" w:eastAsia="zh-CN"/>
        </w:rPr>
        <w:t>机构设置情况</w:t>
      </w:r>
    </w:p>
    <w:p>
      <w:pPr>
        <w:spacing w:line="580" w:lineRule="exact"/>
        <w:rPr>
          <w:rFonts w:ascii="黑体" w:eastAsia="黑体"/>
          <w:sz w:val="36"/>
          <w:szCs w:val="36"/>
        </w:rPr>
      </w:pPr>
      <w:r>
        <w:rPr>
          <w:rFonts w:hint="eastAsia" w:ascii="黑体" w:eastAsia="黑体"/>
          <w:sz w:val="36"/>
          <w:szCs w:val="36"/>
        </w:rPr>
        <w:t xml:space="preserve">第二部分 </w:t>
      </w:r>
      <w:r>
        <w:rPr>
          <w:rFonts w:hint="eastAsia" w:ascii="黑体" w:eastAsia="黑体"/>
          <w:sz w:val="36"/>
          <w:szCs w:val="36"/>
          <w:lang w:eastAsia="zh-CN"/>
        </w:rPr>
        <w:t>2023</w:t>
      </w:r>
      <w:r>
        <w:rPr>
          <w:rFonts w:hint="eastAsia" w:ascii="黑体" w:eastAsia="黑体"/>
          <w:sz w:val="36"/>
          <w:szCs w:val="36"/>
        </w:rPr>
        <w:t>年</w:t>
      </w:r>
      <w:r>
        <w:rPr>
          <w:rFonts w:hint="eastAsia" w:ascii="黑体" w:eastAsia="黑体"/>
          <w:sz w:val="36"/>
          <w:szCs w:val="36"/>
          <w:lang w:eastAsia="zh-CN"/>
        </w:rPr>
        <w:t>单位</w:t>
      </w:r>
      <w:r>
        <w:rPr>
          <w:rFonts w:hint="eastAsia" w:ascii="黑体" w:eastAsia="黑体"/>
          <w:sz w:val="36"/>
          <w:szCs w:val="36"/>
        </w:rPr>
        <w:t>预算表</w:t>
      </w:r>
    </w:p>
    <w:p>
      <w:pPr>
        <w:spacing w:line="580" w:lineRule="exact"/>
        <w:ind w:firstLine="640" w:firstLineChars="200"/>
        <w:rPr>
          <w:rFonts w:hint="default" w:ascii="楷体_GB2312" w:eastAsia="楷体_GB2312"/>
          <w:sz w:val="32"/>
          <w:szCs w:val="32"/>
          <w:lang w:val="en-US" w:eastAsia="zh-CN"/>
        </w:rPr>
      </w:pPr>
      <w:r>
        <w:rPr>
          <w:rFonts w:hint="eastAsia" w:ascii="楷体_GB2312" w:eastAsia="楷体_GB2312"/>
          <w:sz w:val="32"/>
          <w:szCs w:val="32"/>
        </w:rPr>
        <w:t>一、收支</w:t>
      </w:r>
      <w:r>
        <w:rPr>
          <w:rFonts w:hint="eastAsia" w:ascii="楷体_GB2312" w:eastAsia="楷体_GB2312"/>
          <w:sz w:val="32"/>
          <w:szCs w:val="32"/>
          <w:lang w:val="en-US" w:eastAsia="zh-CN"/>
        </w:rPr>
        <w:t>总体情况表</w:t>
      </w:r>
    </w:p>
    <w:p>
      <w:pPr>
        <w:spacing w:line="580" w:lineRule="exact"/>
        <w:ind w:firstLine="640" w:firstLineChars="200"/>
        <w:rPr>
          <w:rFonts w:hint="default" w:ascii="楷体_GB2312" w:eastAsia="楷体_GB2312"/>
          <w:sz w:val="32"/>
          <w:szCs w:val="32"/>
          <w:lang w:val="en-US" w:eastAsia="zh-CN"/>
        </w:rPr>
      </w:pPr>
      <w:r>
        <w:rPr>
          <w:rFonts w:hint="eastAsia" w:ascii="楷体_GB2312" w:eastAsia="楷体_GB2312"/>
          <w:sz w:val="32"/>
          <w:szCs w:val="32"/>
        </w:rPr>
        <w:t>二、收入</w:t>
      </w:r>
      <w:r>
        <w:rPr>
          <w:rFonts w:hint="eastAsia" w:ascii="楷体_GB2312" w:eastAsia="楷体_GB2312"/>
          <w:sz w:val="32"/>
          <w:szCs w:val="32"/>
          <w:lang w:val="en-US" w:eastAsia="zh-CN"/>
        </w:rPr>
        <w:t>总体情况表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三、支出</w:t>
      </w:r>
      <w:r>
        <w:rPr>
          <w:rFonts w:hint="eastAsia" w:ascii="楷体_GB2312" w:eastAsia="楷体_GB2312"/>
          <w:sz w:val="32"/>
          <w:szCs w:val="32"/>
          <w:lang w:val="en-US" w:eastAsia="zh-CN"/>
        </w:rPr>
        <w:t>总体情况表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四、财政拨款收支总体情况表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五、一般公共预算支出</w:t>
      </w:r>
      <w:r>
        <w:rPr>
          <w:rFonts w:hint="eastAsia" w:ascii="楷体_GB2312" w:eastAsia="楷体_GB2312"/>
          <w:sz w:val="32"/>
          <w:szCs w:val="32"/>
          <w:lang w:val="en-US" w:eastAsia="zh-CN"/>
        </w:rPr>
        <w:t>情况</w:t>
      </w:r>
      <w:r>
        <w:rPr>
          <w:rFonts w:hint="eastAsia" w:ascii="楷体_GB2312" w:eastAsia="楷体_GB2312"/>
          <w:sz w:val="32"/>
          <w:szCs w:val="32"/>
        </w:rPr>
        <w:t>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六、一般公共预算基本支出</w:t>
      </w:r>
      <w:r>
        <w:rPr>
          <w:rFonts w:hint="eastAsia" w:ascii="楷体_GB2312" w:eastAsia="楷体_GB2312"/>
          <w:sz w:val="32"/>
          <w:szCs w:val="32"/>
          <w:lang w:val="en-US" w:eastAsia="zh-CN"/>
        </w:rPr>
        <w:t>情况</w:t>
      </w:r>
      <w:r>
        <w:rPr>
          <w:rFonts w:hint="eastAsia" w:ascii="楷体_GB2312" w:eastAsia="楷体_GB2312"/>
          <w:sz w:val="32"/>
          <w:szCs w:val="32"/>
        </w:rPr>
        <w:t>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七、一般公共预算“三公”经费支出情况表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八、政府性基金预算支出情况表</w:t>
      </w:r>
    </w:p>
    <w:p>
      <w:pPr>
        <w:spacing w:line="580" w:lineRule="exact"/>
        <w:ind w:firstLine="640" w:firstLineChars="200"/>
        <w:rPr>
          <w:rFonts w:hint="eastAsia" w:ascii="楷体_GB2312" w:eastAsia="楷体_GB2312"/>
          <w:sz w:val="32"/>
          <w:szCs w:val="32"/>
        </w:rPr>
      </w:pPr>
      <w:r>
        <w:rPr>
          <w:rFonts w:hint="eastAsia" w:ascii="楷体_GB2312" w:eastAsia="楷体_GB2312"/>
          <w:sz w:val="32"/>
          <w:szCs w:val="32"/>
          <w:lang w:val="en-US" w:eastAsia="zh-CN"/>
        </w:rPr>
        <w:t>九</w:t>
      </w:r>
      <w:r>
        <w:rPr>
          <w:rFonts w:hint="eastAsia" w:ascii="楷体_GB2312" w:eastAsia="楷体_GB2312"/>
          <w:sz w:val="32"/>
          <w:szCs w:val="32"/>
        </w:rPr>
        <w:t>、国有资本经营预算支出</w:t>
      </w:r>
      <w:r>
        <w:rPr>
          <w:rFonts w:hint="eastAsia" w:ascii="楷体_GB2312" w:eastAsia="楷体_GB2312"/>
          <w:sz w:val="32"/>
          <w:szCs w:val="32"/>
          <w:lang w:val="en-US" w:eastAsia="zh-CN"/>
        </w:rPr>
        <w:t>情况</w:t>
      </w:r>
      <w:r>
        <w:rPr>
          <w:rFonts w:hint="eastAsia" w:ascii="楷体_GB2312" w:eastAsia="楷体_GB2312"/>
          <w:sz w:val="32"/>
          <w:szCs w:val="32"/>
        </w:rPr>
        <w:t>表</w:t>
      </w:r>
    </w:p>
    <w:p>
      <w:pPr>
        <w:spacing w:line="580" w:lineRule="exact"/>
        <w:ind w:firstLine="640" w:firstLineChars="200"/>
        <w:rPr>
          <w:rFonts w:ascii="楷体_GB2312" w:eastAsia="楷体_GB2312"/>
          <w:sz w:val="32"/>
          <w:szCs w:val="32"/>
        </w:rPr>
      </w:pPr>
      <w:r>
        <w:rPr>
          <w:rFonts w:hint="eastAsia" w:ascii="楷体_GB2312" w:eastAsia="楷体_GB2312"/>
          <w:sz w:val="32"/>
          <w:szCs w:val="32"/>
          <w:lang w:val="en-US" w:eastAsia="zh-CN"/>
        </w:rPr>
        <w:t>十</w:t>
      </w:r>
      <w:r>
        <w:rPr>
          <w:rFonts w:hint="eastAsia" w:ascii="楷体_GB2312" w:eastAsia="楷体_GB2312"/>
          <w:sz w:val="32"/>
          <w:szCs w:val="32"/>
        </w:rPr>
        <w:t>、基本支出预算</w:t>
      </w:r>
      <w:r>
        <w:rPr>
          <w:rFonts w:hint="eastAsia" w:ascii="楷体_GB2312" w:eastAsia="楷体_GB2312"/>
          <w:sz w:val="32"/>
          <w:szCs w:val="32"/>
          <w:lang w:val="en-US" w:eastAsia="zh-CN"/>
        </w:rPr>
        <w:t>情况</w:t>
      </w:r>
      <w:r>
        <w:rPr>
          <w:rFonts w:hint="eastAsia" w:ascii="楷体_GB2312" w:eastAsia="楷体_GB2312"/>
          <w:sz w:val="32"/>
          <w:szCs w:val="32"/>
        </w:rPr>
        <w:t>表</w:t>
      </w:r>
    </w:p>
    <w:p>
      <w:pPr>
        <w:spacing w:line="580" w:lineRule="exact"/>
        <w:ind w:firstLine="640" w:firstLineChars="200"/>
        <w:rPr>
          <w:rFonts w:hint="eastAsia" w:ascii="楷体_GB2312" w:eastAsia="楷体_GB2312"/>
          <w:sz w:val="32"/>
          <w:szCs w:val="32"/>
        </w:rPr>
      </w:pPr>
      <w:r>
        <w:rPr>
          <w:rFonts w:hint="eastAsia" w:ascii="楷体_GB2312" w:eastAsia="楷体_GB2312"/>
          <w:sz w:val="32"/>
          <w:szCs w:val="32"/>
          <w:lang w:val="en-US" w:eastAsia="zh-CN"/>
        </w:rPr>
        <w:t>十一</w:t>
      </w:r>
      <w:r>
        <w:rPr>
          <w:rFonts w:hint="eastAsia" w:ascii="楷体_GB2312" w:eastAsia="楷体_GB2312"/>
          <w:sz w:val="32"/>
          <w:szCs w:val="32"/>
        </w:rPr>
        <w:t>、项目支出预算</w:t>
      </w:r>
      <w:r>
        <w:rPr>
          <w:rFonts w:hint="eastAsia" w:ascii="楷体_GB2312" w:eastAsia="楷体_GB2312"/>
          <w:sz w:val="32"/>
          <w:szCs w:val="32"/>
          <w:lang w:val="en-US" w:eastAsia="zh-CN"/>
        </w:rPr>
        <w:t>情况</w:t>
      </w:r>
      <w:r>
        <w:rPr>
          <w:rFonts w:hint="eastAsia" w:ascii="楷体_GB2312" w:eastAsia="楷体_GB2312"/>
          <w:sz w:val="32"/>
          <w:szCs w:val="32"/>
        </w:rPr>
        <w:t>表</w:t>
      </w:r>
    </w:p>
    <w:p>
      <w:pPr>
        <w:spacing w:line="580" w:lineRule="exact"/>
        <w:ind w:firstLine="640" w:firstLineChars="200"/>
        <w:rPr>
          <w:rFonts w:hint="default" w:ascii="楷体_GB2312" w:eastAsia="楷体_GB2312"/>
          <w:sz w:val="32"/>
          <w:szCs w:val="32"/>
          <w:lang w:val="en-US" w:eastAsia="zh-CN"/>
        </w:rPr>
      </w:pPr>
      <w:r>
        <w:rPr>
          <w:rFonts w:hint="eastAsia" w:ascii="楷体_GB2312" w:eastAsia="楷体_GB2312"/>
          <w:sz w:val="32"/>
          <w:szCs w:val="32"/>
          <w:lang w:val="en-US" w:eastAsia="zh-CN"/>
        </w:rPr>
        <w:t>十二、</w:t>
      </w:r>
      <w:r>
        <w:rPr>
          <w:rFonts w:hint="eastAsia" w:ascii="楷体_GB2312" w:eastAsia="楷体_GB2312"/>
          <w:sz w:val="32"/>
          <w:szCs w:val="32"/>
        </w:rPr>
        <w:t>政府采购预算</w:t>
      </w:r>
      <w:r>
        <w:rPr>
          <w:rFonts w:hint="eastAsia" w:ascii="楷体_GB2312" w:eastAsia="楷体_GB2312"/>
          <w:sz w:val="32"/>
          <w:szCs w:val="32"/>
          <w:lang w:val="en-US" w:eastAsia="zh-CN"/>
        </w:rPr>
        <w:t>情况</w:t>
      </w:r>
      <w:r>
        <w:rPr>
          <w:rFonts w:hint="eastAsia" w:ascii="楷体_GB2312" w:eastAsia="楷体_GB2312"/>
          <w:sz w:val="32"/>
          <w:szCs w:val="32"/>
        </w:rPr>
        <w:t>表</w:t>
      </w:r>
    </w:p>
    <w:p>
      <w:pPr>
        <w:spacing w:line="580" w:lineRule="exact"/>
        <w:ind w:left="1602" w:hanging="1601" w:hangingChars="445"/>
        <w:rPr>
          <w:rFonts w:ascii="黑体" w:eastAsia="黑体"/>
          <w:sz w:val="36"/>
          <w:szCs w:val="36"/>
        </w:rPr>
      </w:pPr>
      <w:r>
        <w:rPr>
          <w:rFonts w:hint="eastAsia" w:ascii="黑体" w:eastAsia="黑体"/>
          <w:sz w:val="36"/>
          <w:szCs w:val="36"/>
        </w:rPr>
        <w:t xml:space="preserve">第三部分 </w:t>
      </w:r>
      <w:r>
        <w:rPr>
          <w:rFonts w:hint="eastAsia" w:ascii="黑体" w:eastAsia="黑体"/>
          <w:sz w:val="36"/>
          <w:szCs w:val="36"/>
          <w:lang w:eastAsia="zh-CN"/>
        </w:rPr>
        <w:t>2023</w:t>
      </w:r>
      <w:r>
        <w:rPr>
          <w:rFonts w:hint="eastAsia" w:ascii="黑体" w:eastAsia="黑体"/>
          <w:sz w:val="36"/>
          <w:szCs w:val="36"/>
        </w:rPr>
        <w:t>年</w:t>
      </w:r>
      <w:r>
        <w:rPr>
          <w:rFonts w:hint="eastAsia" w:ascii="黑体" w:eastAsia="黑体"/>
          <w:sz w:val="36"/>
          <w:szCs w:val="36"/>
          <w:lang w:eastAsia="zh-CN"/>
        </w:rPr>
        <w:t>单位</w:t>
      </w:r>
      <w:r>
        <w:rPr>
          <w:rFonts w:hint="eastAsia" w:ascii="黑体" w:eastAsia="黑体"/>
          <w:sz w:val="36"/>
          <w:szCs w:val="36"/>
        </w:rPr>
        <w:t>预算情况和重要事项说明</w:t>
      </w:r>
    </w:p>
    <w:p>
      <w:pPr>
        <w:rPr>
          <w:rFonts w:ascii="黑体" w:eastAsia="黑体"/>
          <w:sz w:val="36"/>
          <w:szCs w:val="36"/>
        </w:rPr>
      </w:pPr>
      <w:r>
        <w:rPr>
          <w:rFonts w:hint="eastAsia" w:ascii="黑体" w:eastAsia="黑体"/>
          <w:sz w:val="36"/>
          <w:szCs w:val="36"/>
        </w:rPr>
        <w:t>第四部分 名词解释</w:t>
      </w:r>
    </w:p>
    <w:p>
      <w:pPr>
        <w:widowControl/>
        <w:spacing w:line="20" w:lineRule="exact"/>
        <w:jc w:val="left"/>
        <w:rPr>
          <w:rFonts w:ascii="黑体" w:eastAsia="黑体"/>
          <w:sz w:val="36"/>
          <w:szCs w:val="36"/>
        </w:rPr>
      </w:pPr>
      <w:r>
        <w:rPr>
          <w:rFonts w:ascii="黑体" w:eastAsia="黑体"/>
          <w:sz w:val="36"/>
          <w:szCs w:val="36"/>
        </w:rPr>
        <w:br w:type="page"/>
      </w:r>
    </w:p>
    <w:p>
      <w:pPr>
        <w:rPr>
          <w:rFonts w:ascii="黑体" w:eastAsia="黑体"/>
          <w:sz w:val="52"/>
          <w:szCs w:val="52"/>
        </w:rPr>
      </w:pPr>
      <w:r>
        <w:rPr>
          <w:rFonts w:hint="eastAsia" w:ascii="黑体" w:eastAsia="黑体"/>
          <w:sz w:val="52"/>
          <w:szCs w:val="52"/>
        </w:rPr>
        <w:t>第一部分</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r>
        <w:rPr>
          <w:rFonts w:hint="eastAsia" w:ascii="黑体" w:eastAsia="黑体"/>
          <w:sz w:val="52"/>
          <w:szCs w:val="52"/>
          <w:lang w:val="en-US" w:eastAsia="zh-CN"/>
        </w:rPr>
        <w:t>单位</w:t>
      </w:r>
      <w:r>
        <w:rPr>
          <w:rFonts w:hint="eastAsia" w:ascii="黑体" w:eastAsia="黑体"/>
          <w:sz w:val="52"/>
          <w:szCs w:val="52"/>
        </w:rPr>
        <w:t>概况</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spacing w:line="580" w:lineRule="exact"/>
        <w:ind w:firstLine="722" w:firstLineChars="200"/>
        <w:rPr>
          <w:rFonts w:hint="eastAsia" w:ascii="黑体" w:eastAsia="黑体"/>
          <w:sz w:val="32"/>
          <w:szCs w:val="32"/>
          <w:lang w:val="en-US" w:eastAsia="zh-CN"/>
        </w:rPr>
      </w:pPr>
      <w:r>
        <w:rPr>
          <w:rFonts w:ascii="黑体" w:eastAsia="黑体"/>
          <w:b/>
          <w:sz w:val="36"/>
          <w:szCs w:val="36"/>
        </w:rPr>
        <w:br w:type="page"/>
      </w:r>
      <w:r>
        <w:rPr>
          <w:rFonts w:hint="eastAsia" w:ascii="黑体" w:eastAsia="黑体"/>
          <w:bCs/>
          <w:sz w:val="36"/>
          <w:szCs w:val="36"/>
        </w:rPr>
        <w:t>一、</w:t>
      </w:r>
      <w:r>
        <w:rPr>
          <w:rFonts w:hint="eastAsia" w:ascii="黑体" w:eastAsia="黑体"/>
          <w:sz w:val="32"/>
          <w:szCs w:val="32"/>
        </w:rPr>
        <w:t>主要</w:t>
      </w:r>
      <w:r>
        <w:rPr>
          <w:rFonts w:hint="eastAsia" w:ascii="黑体" w:eastAsia="黑体"/>
          <w:sz w:val="32"/>
          <w:szCs w:val="32"/>
          <w:lang w:val="en-US" w:eastAsia="zh-CN"/>
        </w:rPr>
        <w:t>职能</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方正小标宋简体" w:eastAsia="仿宋_GB2312" w:cs="方正小标宋简体"/>
          <w:sz w:val="32"/>
          <w:szCs w:val="32"/>
        </w:rPr>
        <w:t>鲁编〔2015〕26号明确，山东省欧美同学会（山东省留学人员联谊会）机关主要职责是，</w:t>
      </w:r>
      <w:r>
        <w:rPr>
          <w:rFonts w:hint="eastAsia" w:ascii="仿宋_GB2312" w:hAnsi="仿宋_GB2312" w:eastAsia="仿宋_GB2312" w:cs="仿宋_GB2312"/>
          <w:sz w:val="32"/>
          <w:szCs w:val="32"/>
        </w:rPr>
        <w:t>贯彻落实党和政府关于留学人员工作的方针政策；弘扬留学报国的爱国主义精神，推动留学人员报国实践；团结联系留学人员和留学人员团体，开展科技、经济、文化等领域的交流与合作，促进友好往来；做好留学人员代表人士的发现、培养、使用和管理工作，维护会员的合法权益。</w:t>
      </w:r>
      <w:r>
        <w:rPr>
          <w:rFonts w:hint="eastAsia" w:ascii="仿宋_GB2312" w:hAnsi="仿宋_GB2312" w:eastAsia="仿宋_GB2312" w:cs="仿宋_GB2312"/>
          <w:sz w:val="32"/>
          <w:szCs w:val="32"/>
          <w:lang w:eastAsia="zh-CN"/>
        </w:rPr>
        <w:t>结合威海实际，</w:t>
      </w:r>
      <w:r>
        <w:rPr>
          <w:rFonts w:hint="eastAsia" w:ascii="仿宋_GB2312" w:hAnsi="仿宋_GB2312" w:eastAsia="仿宋_GB2312" w:cs="仿宋_GB2312"/>
          <w:kern w:val="2"/>
          <w:sz w:val="32"/>
          <w:szCs w:val="32"/>
        </w:rPr>
        <w:t>威海市欧美同学会秘书处</w:t>
      </w:r>
      <w:r>
        <w:rPr>
          <w:rFonts w:hint="eastAsia" w:ascii="仿宋_GB2312" w:hAnsi="宋体" w:eastAsia="仿宋_GB2312" w:cs="Courier New"/>
          <w:kern w:val="2"/>
          <w:sz w:val="32"/>
          <w:szCs w:val="32"/>
        </w:rPr>
        <w:t>主要职责：</w:t>
      </w:r>
    </w:p>
    <w:p>
      <w:pPr>
        <w:numPr>
          <w:ilvl w:val="0"/>
          <w:numId w:val="1"/>
        </w:numPr>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联系港澳台同胞、海外侨胞、外籍华人及其团体，凝聚爱港、爱澳、爱国力量</w:t>
      </w:r>
      <w:r>
        <w:rPr>
          <w:rFonts w:hint="eastAsia" w:ascii="仿宋_GB2312" w:hAnsi="仿宋_GB2312" w:eastAsia="仿宋_GB2312" w:cs="仿宋_GB2312"/>
          <w:kern w:val="2"/>
          <w:sz w:val="32"/>
          <w:szCs w:val="32"/>
          <w:lang w:eastAsia="zh-CN"/>
        </w:rPr>
        <w:t>。</w:t>
      </w:r>
    </w:p>
    <w:p>
      <w:pPr>
        <w:numPr>
          <w:ilvl w:val="0"/>
          <w:numId w:val="1"/>
        </w:numPr>
        <w:ind w:left="0" w:leftChars="0"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促进威海各界与港澳台同胞、海外侨胞和外籍华人在经济、科技、文化和教育等方面的交流与合作</w:t>
      </w:r>
      <w:r>
        <w:rPr>
          <w:rFonts w:hint="eastAsia" w:ascii="仿宋_GB2312" w:hAnsi="仿宋_GB2312" w:eastAsia="仿宋_GB2312" w:cs="仿宋_GB2312"/>
          <w:kern w:val="2"/>
          <w:sz w:val="32"/>
          <w:szCs w:val="32"/>
          <w:lang w:eastAsia="zh-CN"/>
        </w:rPr>
        <w:t>。</w:t>
      </w:r>
    </w:p>
    <w:p>
      <w:pPr>
        <w:numPr>
          <w:ilvl w:val="0"/>
          <w:numId w:val="1"/>
        </w:numPr>
        <w:ind w:left="0" w:leftChars="0"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向港澳台同胞、海外侨胞和外籍华人介绍威海的改革开放、经济建设和社会发展等方面的情况，反映各界人士对实现祖国统一及对威海建设与发展的意见和建议</w:t>
      </w:r>
      <w:r>
        <w:rPr>
          <w:rFonts w:hint="eastAsia" w:ascii="仿宋_GB2312" w:hAnsi="仿宋_GB2312" w:eastAsia="仿宋_GB2312" w:cs="仿宋_GB2312"/>
          <w:kern w:val="2"/>
          <w:sz w:val="32"/>
          <w:szCs w:val="32"/>
          <w:lang w:eastAsia="zh-CN"/>
        </w:rPr>
        <w:t>。</w:t>
      </w:r>
    </w:p>
    <w:p>
      <w:pPr>
        <w:numPr>
          <w:ilvl w:val="0"/>
          <w:numId w:val="1"/>
        </w:numPr>
        <w:ind w:left="0" w:leftChars="0"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加强与有关方面的联系与协调，协助政府部门维护港澳台同胞、海外侨胞和外籍华人在威海的合法权益，帮助解决困难和问题；组织海联会理事开展国内外经济、文化、学术交流及联谊活动等</w:t>
      </w:r>
      <w:r>
        <w:rPr>
          <w:rFonts w:hint="eastAsia" w:ascii="仿宋_GB2312" w:hAnsi="仿宋_GB2312" w:eastAsia="仿宋_GB2312" w:cs="仿宋_GB2312"/>
          <w:kern w:val="2"/>
          <w:sz w:val="32"/>
          <w:szCs w:val="32"/>
          <w:lang w:eastAsia="zh-CN"/>
        </w:rPr>
        <w:t>。</w:t>
      </w:r>
    </w:p>
    <w:p>
      <w:pPr>
        <w:numPr>
          <w:ilvl w:val="0"/>
          <w:numId w:val="0"/>
        </w:numPr>
        <w:ind w:leftChars="200" w:firstLine="320" w:firstLineChars="100"/>
        <w:rPr>
          <w:rFonts w:ascii="仿宋_GB2312" w:eastAsia="仿宋_GB2312"/>
        </w:rPr>
      </w:pPr>
      <w:r>
        <w:rPr>
          <w:rFonts w:hint="eastAsia" w:ascii="仿宋_GB2312" w:hAnsi="宋体" w:eastAsia="仿宋_GB2312" w:cs="Courier New"/>
          <w:kern w:val="2"/>
          <w:sz w:val="32"/>
          <w:szCs w:val="32"/>
        </w:rPr>
        <w:t>（五）</w:t>
      </w:r>
      <w:r>
        <w:rPr>
          <w:rFonts w:hint="eastAsia" w:ascii="仿宋_GB2312" w:hAnsi="仿宋_GB2312" w:eastAsia="仿宋_GB2312" w:cs="仿宋_GB2312"/>
          <w:kern w:val="2"/>
          <w:sz w:val="32"/>
          <w:szCs w:val="32"/>
        </w:rPr>
        <w:t>负责协调、指导下级统战部门开展</w:t>
      </w:r>
      <w:r>
        <w:rPr>
          <w:rFonts w:hint="eastAsia" w:ascii="仿宋_GB2312" w:hAnsi="仿宋_GB2312" w:eastAsia="仿宋_GB2312" w:cs="仿宋_GB2312"/>
          <w:kern w:val="2"/>
          <w:sz w:val="32"/>
          <w:szCs w:val="32"/>
        </w:rPr>
        <w:fldChar w:fldCharType="begin"/>
      </w:r>
      <w:r>
        <w:rPr>
          <w:rFonts w:ascii="仿宋_GB2312" w:hAnsi="仿宋_GB2312" w:eastAsia="仿宋_GB2312" w:cs="仿宋_GB2312"/>
          <w:kern w:val="2"/>
          <w:sz w:val="32"/>
          <w:szCs w:val="32"/>
        </w:rPr>
        <w:instrText xml:space="preserve"> HYPERLINK "https://baike.sogou.com/v10867015.htm" \t "https://baike.sogou.com/_blank"</w:instrText>
      </w:r>
      <w:r>
        <w:rPr>
          <w:rFonts w:hint="eastAsia" w:ascii="仿宋_GB2312" w:hAnsi="仿宋_GB2312" w:eastAsia="仿宋_GB2312" w:cs="仿宋_GB2312"/>
          <w:kern w:val="2"/>
          <w:sz w:val="32"/>
          <w:szCs w:val="32"/>
        </w:rPr>
        <w:fldChar w:fldCharType="separate"/>
      </w:r>
      <w:r>
        <w:rPr>
          <w:rFonts w:hint="eastAsia" w:ascii="仿宋_GB2312" w:hAnsi="仿宋_GB2312" w:eastAsia="仿宋_GB2312" w:cs="仿宋_GB2312"/>
          <w:kern w:val="2"/>
          <w:sz w:val="32"/>
          <w:szCs w:val="32"/>
        </w:rPr>
        <w:t>海外统战工作</w:t>
      </w:r>
      <w:r>
        <w:rPr>
          <w:rFonts w:hint="eastAsia" w:ascii="仿宋_GB2312" w:hAnsi="仿宋_GB2312" w:eastAsia="仿宋_GB2312" w:cs="仿宋_GB2312"/>
          <w:kern w:val="2"/>
          <w:sz w:val="32"/>
          <w:szCs w:val="32"/>
        </w:rPr>
        <w:fldChar w:fldCharType="end"/>
      </w:r>
      <w:r>
        <w:rPr>
          <w:rFonts w:hint="eastAsia" w:ascii="仿宋_GB2312" w:hAnsi="仿宋_GB2312" w:eastAsia="仿宋_GB2312" w:cs="仿宋_GB2312"/>
          <w:kern w:val="2"/>
          <w:sz w:val="32"/>
          <w:szCs w:val="32"/>
        </w:rPr>
        <w:t>，承担市海外联谊会的日常工作。</w:t>
      </w:r>
    </w:p>
    <w:p>
      <w:pPr>
        <w:spacing w:line="580" w:lineRule="exact"/>
        <w:ind w:firstLine="640" w:firstLineChars="200"/>
        <w:rPr>
          <w:rFonts w:hint="default" w:ascii="黑体" w:eastAsia="黑体"/>
          <w:sz w:val="32"/>
          <w:szCs w:val="32"/>
          <w:lang w:val="en-US" w:eastAsia="zh-CN"/>
        </w:rPr>
      </w:pPr>
      <w:r>
        <w:rPr>
          <w:rFonts w:hint="eastAsia" w:ascii="黑体" w:eastAsia="黑体"/>
          <w:sz w:val="32"/>
          <w:szCs w:val="32"/>
        </w:rPr>
        <w:t>二、</w:t>
      </w:r>
      <w:r>
        <w:rPr>
          <w:rFonts w:hint="eastAsia" w:ascii="黑体" w:eastAsia="黑体"/>
          <w:sz w:val="32"/>
          <w:szCs w:val="32"/>
          <w:lang w:val="en-US" w:eastAsia="zh-CN"/>
        </w:rPr>
        <w:t>机构设置情况</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lang w:eastAsia="zh-CN"/>
        </w:rPr>
        <w:t>本单位为</w:t>
      </w:r>
      <w:r>
        <w:rPr>
          <w:rFonts w:hint="eastAsia" w:ascii="仿宋_GB2312" w:hAnsi="宋体" w:eastAsia="仿宋_GB2312" w:cs="Courier New"/>
          <w:sz w:val="32"/>
          <w:szCs w:val="32"/>
          <w:lang w:val="en-US" w:eastAsia="zh-CN"/>
        </w:rPr>
        <w:t>中国共产党威海市委员会统一战线工作部二级预算单位，无下属单位。单位设立下列内设机构，分别为：办公室。</w:t>
      </w:r>
    </w:p>
    <w:p>
      <w:pPr>
        <w:keepNext w:val="0"/>
        <w:keepLines w:val="0"/>
        <w:pageBreakBefore w:val="0"/>
        <w:widowControl/>
        <w:kinsoku/>
        <w:wordWrap/>
        <w:overflowPunct/>
        <w:topLinePunct w:val="0"/>
        <w:autoSpaceDE/>
        <w:autoSpaceDN/>
        <w:bidi w:val="0"/>
        <w:adjustRightInd/>
        <w:snapToGrid/>
        <w:spacing w:line="600" w:lineRule="exact"/>
        <w:ind w:firstLine="963" w:firstLineChars="200"/>
        <w:jc w:val="left"/>
        <w:textAlignment w:val="auto"/>
        <w:rPr>
          <w:rFonts w:ascii="黑体" w:eastAsia="黑体"/>
          <w:b/>
          <w:sz w:val="48"/>
          <w:szCs w:val="48"/>
        </w:rPr>
      </w:pPr>
      <w:r>
        <w:rPr>
          <w:rFonts w:ascii="黑体" w:eastAsia="黑体"/>
          <w:b/>
          <w:sz w:val="48"/>
          <w:szCs w:val="48"/>
        </w:rPr>
        <w:br w:type="page"/>
      </w:r>
    </w:p>
    <w:p>
      <w:pPr>
        <w:rPr>
          <w:rFonts w:ascii="黑体" w:eastAsia="黑体"/>
          <w:sz w:val="52"/>
          <w:szCs w:val="52"/>
        </w:rPr>
      </w:pPr>
      <w:r>
        <w:rPr>
          <w:rFonts w:hint="eastAsia" w:ascii="黑体" w:eastAsia="黑体"/>
          <w:sz w:val="52"/>
          <w:szCs w:val="52"/>
        </w:rPr>
        <w:t>第二部分</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r>
        <w:rPr>
          <w:rFonts w:hint="eastAsia" w:ascii="黑体" w:eastAsia="黑体"/>
          <w:sz w:val="52"/>
          <w:szCs w:val="52"/>
          <w:lang w:eastAsia="zh-CN"/>
        </w:rPr>
        <w:t>2023</w:t>
      </w:r>
      <w:r>
        <w:rPr>
          <w:rFonts w:hint="eastAsia" w:ascii="黑体" w:eastAsia="黑体"/>
          <w:sz w:val="52"/>
          <w:szCs w:val="52"/>
        </w:rPr>
        <w:t>年</w:t>
      </w:r>
      <w:r>
        <w:rPr>
          <w:rFonts w:hint="eastAsia" w:ascii="黑体" w:eastAsia="黑体"/>
          <w:sz w:val="52"/>
          <w:szCs w:val="52"/>
          <w:lang w:val="en-US" w:eastAsia="zh-CN"/>
        </w:rPr>
        <w:t>单位</w:t>
      </w:r>
      <w:r>
        <w:rPr>
          <w:rFonts w:hint="eastAsia" w:ascii="黑体" w:eastAsia="黑体"/>
          <w:sz w:val="52"/>
          <w:szCs w:val="52"/>
        </w:rPr>
        <w:t>预算表</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widowControl/>
        <w:jc w:val="left"/>
        <w:rPr>
          <w:rFonts w:ascii="仿宋_GB2312" w:eastAsia="仿宋_GB2312"/>
          <w:b/>
          <w:sz w:val="30"/>
          <w:szCs w:val="30"/>
        </w:rPr>
      </w:pPr>
      <w:r>
        <w:rPr>
          <w:rFonts w:ascii="仿宋_GB2312" w:eastAsia="仿宋_GB2312"/>
          <w:b/>
          <w:sz w:val="30"/>
          <w:szCs w:val="30"/>
        </w:rPr>
        <w:br w:type="page"/>
      </w:r>
    </w:p>
    <w:p>
      <w:pPr>
        <w:jc w:val="right"/>
        <w:rPr>
          <w:rFonts w:ascii="黑体" w:hAnsi="黑体" w:eastAsia="黑体"/>
          <w:bCs/>
          <w:szCs w:val="21"/>
        </w:rPr>
      </w:pPr>
      <w:r>
        <w:rPr>
          <w:rFonts w:hint="eastAsia" w:ascii="黑体" w:hAnsi="黑体" w:eastAsia="黑体"/>
          <w:bCs/>
          <w:szCs w:val="21"/>
        </w:rPr>
        <w:t>公开表1</w:t>
      </w:r>
    </w:p>
    <w:p>
      <w:pPr>
        <w:jc w:val="center"/>
        <w:rPr>
          <w:rFonts w:ascii="黑体" w:hAnsi="黑体" w:eastAsia="黑体" w:cs="宋体"/>
          <w:bCs/>
          <w:kern w:val="0"/>
          <w:sz w:val="32"/>
          <w:szCs w:val="32"/>
        </w:rPr>
      </w:pPr>
      <w:bookmarkStart w:id="0" w:name="RANGE!A2:D28"/>
      <w:r>
        <w:rPr>
          <w:rFonts w:hint="eastAsia" w:ascii="黑体" w:hAnsi="黑体" w:eastAsia="黑体"/>
          <w:bCs/>
          <w:sz w:val="28"/>
          <w:szCs w:val="28"/>
        </w:rPr>
        <w:t>收支总体情况表</w:t>
      </w:r>
      <w:bookmarkEnd w:id="0"/>
    </w:p>
    <w:p>
      <w:pPr>
        <w:jc w:val="right"/>
        <w:rPr>
          <w:rFonts w:ascii="仿宋_GB2312" w:hAnsi="宋体" w:eastAsia="仿宋_GB2312" w:cs="宋体"/>
          <w:kern w:val="0"/>
          <w:szCs w:val="21"/>
        </w:rPr>
      </w:pPr>
      <w:r>
        <w:rPr>
          <w:rFonts w:hint="eastAsia" w:ascii="仿宋_GB2312" w:hAnsi="宋体" w:eastAsia="仿宋_GB2312" w:cs="宋体"/>
          <w:kern w:val="0"/>
          <w:szCs w:val="21"/>
        </w:rPr>
        <w:t>单位：万元</w:t>
      </w:r>
    </w:p>
    <w:tbl>
      <w:tblPr>
        <w:tblStyle w:val="8"/>
        <w:tblW w:w="9398" w:type="dxa"/>
        <w:jc w:val="center"/>
        <w:tblLayout w:type="fixed"/>
        <w:tblCellMar>
          <w:top w:w="0" w:type="dxa"/>
          <w:left w:w="108" w:type="dxa"/>
          <w:bottom w:w="0" w:type="dxa"/>
          <w:right w:w="108" w:type="dxa"/>
        </w:tblCellMar>
      </w:tblPr>
      <w:tblGrid>
        <w:gridCol w:w="3381"/>
        <w:gridCol w:w="1297"/>
        <w:gridCol w:w="3397"/>
        <w:gridCol w:w="1323"/>
      </w:tblGrid>
      <w:tr>
        <w:tblPrEx>
          <w:tblCellMar>
            <w:top w:w="0" w:type="dxa"/>
            <w:left w:w="108" w:type="dxa"/>
            <w:bottom w:w="0" w:type="dxa"/>
            <w:right w:w="108" w:type="dxa"/>
          </w:tblCellMar>
        </w:tblPrEx>
        <w:trPr>
          <w:trHeight w:val="340" w:hRule="atLeast"/>
          <w:jc w:val="center"/>
        </w:trPr>
        <w:tc>
          <w:tcPr>
            <w:tcW w:w="4678"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 xml:space="preserve">收 </w:t>
            </w:r>
            <w:r>
              <w:rPr>
                <w:rFonts w:ascii="黑体" w:hAnsi="黑体" w:eastAsia="黑体" w:cs="宋体"/>
                <w:kern w:val="0"/>
                <w:sz w:val="18"/>
                <w:szCs w:val="18"/>
              </w:rPr>
              <w:t xml:space="preserve">   </w:t>
            </w:r>
            <w:r>
              <w:rPr>
                <w:rFonts w:hint="eastAsia" w:ascii="黑体" w:hAnsi="黑体" w:eastAsia="黑体" w:cs="宋体"/>
                <w:kern w:val="0"/>
                <w:sz w:val="18"/>
                <w:szCs w:val="18"/>
              </w:rPr>
              <w:t>入</w:t>
            </w:r>
          </w:p>
        </w:tc>
        <w:tc>
          <w:tcPr>
            <w:tcW w:w="47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 xml:space="preserve">支 </w:t>
            </w:r>
            <w:r>
              <w:rPr>
                <w:rFonts w:ascii="黑体" w:hAnsi="黑体" w:eastAsia="黑体" w:cs="宋体"/>
                <w:kern w:val="0"/>
                <w:sz w:val="18"/>
                <w:szCs w:val="18"/>
              </w:rPr>
              <w:t xml:space="preserve">   </w:t>
            </w:r>
            <w:r>
              <w:rPr>
                <w:rFonts w:hint="eastAsia" w:ascii="黑体" w:hAnsi="黑体" w:eastAsia="黑体" w:cs="宋体"/>
                <w:kern w:val="0"/>
                <w:sz w:val="18"/>
                <w:szCs w:val="18"/>
              </w:rPr>
              <w:t>出</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项目</w:t>
            </w:r>
          </w:p>
        </w:tc>
        <w:tc>
          <w:tcPr>
            <w:tcW w:w="1297" w:type="dxa"/>
            <w:tcBorders>
              <w:top w:val="nil"/>
              <w:left w:val="nil"/>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预算数</w:t>
            </w:r>
          </w:p>
        </w:tc>
        <w:tc>
          <w:tcPr>
            <w:tcW w:w="3397" w:type="dxa"/>
            <w:tcBorders>
              <w:top w:val="nil"/>
              <w:left w:val="nil"/>
              <w:bottom w:val="single" w:color="auto" w:sz="4" w:space="0"/>
              <w:right w:val="nil"/>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项目</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预算数</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hAnsi="宋体" w:eastAsia="仿宋_GB2312" w:cs="宋体"/>
                <w:kern w:val="0"/>
                <w:sz w:val="18"/>
                <w:szCs w:val="18"/>
              </w:rPr>
            </w:pPr>
            <w:r>
              <w:rPr>
                <w:rFonts w:hint="eastAsia" w:ascii="仿宋_GB2312" w:eastAsia="仿宋_GB2312"/>
                <w:sz w:val="18"/>
                <w:szCs w:val="18"/>
              </w:rPr>
              <w:t>一、财政拨款收入</w:t>
            </w:r>
          </w:p>
        </w:tc>
        <w:tc>
          <w:tcPr>
            <w:tcW w:w="1297" w:type="dxa"/>
            <w:tcBorders>
              <w:top w:val="nil"/>
              <w:left w:val="nil"/>
              <w:bottom w:val="single" w:color="auto" w:sz="4" w:space="0"/>
              <w:right w:val="single" w:color="auto" w:sz="4" w:space="0"/>
            </w:tcBorders>
            <w:vAlign w:val="center"/>
          </w:tcPr>
          <w:p>
            <w:pPr>
              <w:widowControl/>
              <w:jc w:val="righ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135.72</w:t>
            </w: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一、一般公共服务支出</w:t>
            </w:r>
          </w:p>
        </w:tc>
        <w:tc>
          <w:tcPr>
            <w:tcW w:w="1323" w:type="dxa"/>
            <w:tcBorders>
              <w:top w:val="nil"/>
              <w:left w:val="nil"/>
              <w:bottom w:val="single" w:color="auto" w:sz="4" w:space="0"/>
              <w:right w:val="single" w:color="auto" w:sz="4" w:space="0"/>
            </w:tcBorders>
            <w:vAlign w:val="center"/>
          </w:tcPr>
          <w:p>
            <w:pPr>
              <w:widowControl/>
              <w:jc w:val="righ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114.59</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ind w:firstLine="360" w:firstLineChars="200"/>
              <w:jc w:val="left"/>
              <w:rPr>
                <w:rFonts w:ascii="仿宋_GB2312" w:hAnsi="宋体" w:eastAsia="仿宋_GB2312" w:cs="宋体"/>
                <w:kern w:val="0"/>
                <w:sz w:val="18"/>
                <w:szCs w:val="18"/>
              </w:rPr>
            </w:pPr>
            <w:r>
              <w:rPr>
                <w:rFonts w:hint="eastAsia" w:ascii="仿宋_GB2312" w:eastAsia="仿宋_GB2312"/>
                <w:sz w:val="18"/>
                <w:szCs w:val="18"/>
              </w:rPr>
              <w:t>一般公共预算收入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r>
              <w:rPr>
                <w:rFonts w:hint="eastAsia" w:ascii="仿宋_GB2312" w:hAnsi="宋体" w:eastAsia="仿宋_GB2312" w:cs="宋体"/>
                <w:kern w:val="0"/>
                <w:sz w:val="18"/>
                <w:szCs w:val="18"/>
                <w:lang w:val="en-US" w:eastAsia="zh-CN"/>
              </w:rPr>
              <w:t>135.72</w:t>
            </w: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二、外交支出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ind w:firstLine="360" w:firstLineChars="200"/>
              <w:jc w:val="left"/>
              <w:rPr>
                <w:rFonts w:ascii="仿宋_GB2312" w:hAnsi="宋体" w:eastAsia="仿宋_GB2312" w:cs="宋体"/>
                <w:kern w:val="0"/>
                <w:sz w:val="18"/>
                <w:szCs w:val="18"/>
              </w:rPr>
            </w:pPr>
            <w:r>
              <w:rPr>
                <w:rFonts w:hint="eastAsia" w:ascii="仿宋_GB2312" w:eastAsia="仿宋_GB2312"/>
                <w:sz w:val="18"/>
                <w:szCs w:val="18"/>
              </w:rPr>
              <w:t>政府性基金预算收入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三、国防支出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ind w:firstLine="360" w:firstLineChars="200"/>
              <w:jc w:val="left"/>
              <w:rPr>
                <w:rFonts w:ascii="仿宋_GB2312" w:hAnsi="宋体" w:eastAsia="仿宋_GB2312" w:cs="宋体"/>
                <w:kern w:val="0"/>
                <w:sz w:val="18"/>
                <w:szCs w:val="18"/>
              </w:rPr>
            </w:pPr>
            <w:r>
              <w:rPr>
                <w:rFonts w:hint="eastAsia" w:ascii="仿宋_GB2312" w:eastAsia="仿宋_GB2312"/>
                <w:sz w:val="18"/>
                <w:szCs w:val="18"/>
              </w:rPr>
              <w:t>国有资本经营预算收入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四、公共安全支出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hAnsi="宋体" w:eastAsia="仿宋_GB2312" w:cs="宋体"/>
                <w:kern w:val="0"/>
                <w:sz w:val="18"/>
                <w:szCs w:val="18"/>
              </w:rPr>
            </w:pPr>
            <w:r>
              <w:rPr>
                <w:rFonts w:hint="eastAsia" w:ascii="仿宋_GB2312" w:eastAsia="仿宋_GB2312"/>
                <w:sz w:val="18"/>
                <w:szCs w:val="18"/>
              </w:rPr>
              <w:t>二、财政专户管理资金收入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五、教育支出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hAnsi="宋体" w:eastAsia="仿宋_GB2312" w:cs="宋体"/>
                <w:kern w:val="0"/>
                <w:sz w:val="18"/>
                <w:szCs w:val="18"/>
              </w:rPr>
            </w:pPr>
            <w:r>
              <w:rPr>
                <w:rFonts w:hint="eastAsia" w:ascii="仿宋_GB2312" w:eastAsia="仿宋_GB2312"/>
                <w:sz w:val="18"/>
                <w:szCs w:val="18"/>
              </w:rPr>
              <w:t>三、事业收入（不含教育收费）</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六、科学技术支出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eastAsia="仿宋_GB2312"/>
                <w:sz w:val="18"/>
                <w:szCs w:val="18"/>
              </w:rPr>
            </w:pPr>
            <w:r>
              <w:rPr>
                <w:rFonts w:hint="eastAsia" w:ascii="仿宋_GB2312" w:eastAsia="仿宋_GB2312"/>
                <w:sz w:val="18"/>
                <w:szCs w:val="18"/>
              </w:rPr>
              <w:t>四、事业单位经营收入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七、文化旅游体育与传媒支出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eastAsia="仿宋_GB2312"/>
                <w:sz w:val="18"/>
                <w:szCs w:val="18"/>
                <w:highlight w:val="cyan"/>
              </w:rPr>
            </w:pPr>
            <w:r>
              <w:rPr>
                <w:rFonts w:hint="eastAsia" w:ascii="仿宋_GB2312" w:eastAsia="仿宋_GB2312"/>
                <w:sz w:val="18"/>
                <w:szCs w:val="18"/>
              </w:rPr>
              <w:t>五、其他收入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八、社会保障和就业支出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8.66</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widowControl/>
              <w:jc w:val="left"/>
              <w:rPr>
                <w:rFonts w:ascii="仿宋_GB2312" w:eastAsia="仿宋_GB2312"/>
                <w:sz w:val="18"/>
                <w:szCs w:val="18"/>
                <w:highlight w:val="cyan"/>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九、卫生健康支出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5.29</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widowControl/>
              <w:jc w:val="left"/>
              <w:rPr>
                <w:rFonts w:ascii="仿宋_GB2312" w:eastAsia="仿宋_GB2312"/>
                <w:sz w:val="18"/>
                <w:szCs w:val="18"/>
                <w:highlight w:val="cyan"/>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十、节能环保支出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十一、城乡社区支出</w:t>
            </w:r>
          </w:p>
        </w:tc>
        <w:tc>
          <w:tcPr>
            <w:tcW w:w="1323" w:type="dxa"/>
            <w:tcBorders>
              <w:top w:val="nil"/>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十二、农林水支出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十三、交通运输支出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十四、资源勘探工业信息等支出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十五、商业服务业等支出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十六、金融支出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000000" w:sz="4" w:space="0"/>
              <w:bottom w:val="nil"/>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十七、援助其他地区支出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十八、自然资源海洋气象等支出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十九、住房保障支出</w:t>
            </w:r>
          </w:p>
        </w:tc>
        <w:tc>
          <w:tcPr>
            <w:tcW w:w="1323" w:type="dxa"/>
            <w:tcBorders>
              <w:top w:val="nil"/>
              <w:left w:val="nil"/>
              <w:bottom w:val="single" w:color="auto" w:sz="4" w:space="0"/>
              <w:right w:val="single" w:color="auto" w:sz="4" w:space="0"/>
            </w:tcBorders>
            <w:vAlign w:val="center"/>
          </w:tcPr>
          <w:p>
            <w:pPr>
              <w:widowControl/>
              <w:jc w:val="righ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7.18</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二十、粮油物资储备支出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二十一、国有资本经营预算支出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二十二、灾害防治及应急管理支出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nil"/>
              <w:bottom w:val="single" w:color="auto" w:sz="4" w:space="0"/>
              <w:right w:val="single" w:color="auto" w:sz="4" w:space="0"/>
            </w:tcBorders>
            <w:vAlign w:val="center"/>
          </w:tcPr>
          <w:p>
            <w:pPr>
              <w:widowControl/>
              <w:jc w:val="left"/>
              <w:rPr>
                <w:rFonts w:ascii="仿宋_GB2312" w:eastAsia="仿宋_GB2312"/>
                <w:sz w:val="18"/>
                <w:szCs w:val="18"/>
              </w:rPr>
            </w:pPr>
            <w:r>
              <w:rPr>
                <w:rFonts w:hint="eastAsia" w:ascii="仿宋_GB2312" w:eastAsia="仿宋_GB2312"/>
                <w:sz w:val="18"/>
                <w:szCs w:val="18"/>
              </w:rPr>
              <w:t>二十三、其他支出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18"/>
                <w:szCs w:val="18"/>
              </w:rPr>
            </w:pPr>
            <w:r>
              <w:rPr>
                <w:rFonts w:hint="eastAsia" w:ascii="仿宋_GB2312" w:hAnsi="宋体" w:eastAsia="仿宋_GB2312" w:cs="宋体"/>
                <w:kern w:val="0"/>
                <w:sz w:val="18"/>
                <w:szCs w:val="18"/>
              </w:rPr>
              <w:t>本年收入合计</w:t>
            </w:r>
          </w:p>
        </w:tc>
        <w:tc>
          <w:tcPr>
            <w:tcW w:w="1297" w:type="dxa"/>
            <w:tcBorders>
              <w:top w:val="nil"/>
              <w:left w:val="nil"/>
              <w:bottom w:val="single" w:color="auto" w:sz="4" w:space="0"/>
              <w:right w:val="single" w:color="auto" w:sz="4" w:space="0"/>
            </w:tcBorders>
            <w:vAlign w:val="center"/>
          </w:tcPr>
          <w:p>
            <w:pPr>
              <w:widowControl/>
              <w:jc w:val="righ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135.72</w:t>
            </w:r>
          </w:p>
        </w:tc>
        <w:tc>
          <w:tcPr>
            <w:tcW w:w="3397"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18"/>
                <w:szCs w:val="18"/>
              </w:rPr>
            </w:pPr>
            <w:r>
              <w:rPr>
                <w:rFonts w:hint="eastAsia" w:ascii="仿宋_GB2312" w:hAnsi="宋体" w:eastAsia="仿宋_GB2312" w:cs="宋体"/>
                <w:kern w:val="0"/>
                <w:sz w:val="18"/>
                <w:szCs w:val="18"/>
              </w:rPr>
              <w:t>本年支出合计</w:t>
            </w:r>
          </w:p>
        </w:tc>
        <w:tc>
          <w:tcPr>
            <w:tcW w:w="1323" w:type="dxa"/>
            <w:tcBorders>
              <w:top w:val="nil"/>
              <w:left w:val="nil"/>
              <w:bottom w:val="single" w:color="auto" w:sz="4" w:space="0"/>
              <w:right w:val="single" w:color="auto" w:sz="4" w:space="0"/>
            </w:tcBorders>
            <w:vAlign w:val="center"/>
          </w:tcPr>
          <w:p>
            <w:pPr>
              <w:widowControl/>
              <w:jc w:val="righ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135.72</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nil"/>
              <w:bottom w:val="single" w:color="auto" w:sz="4" w:space="0"/>
              <w:right w:val="single" w:color="auto" w:sz="4" w:space="0"/>
            </w:tcBorders>
            <w:vAlign w:val="center"/>
          </w:tcPr>
          <w:p>
            <w:pPr>
              <w:widowControl/>
              <w:jc w:val="left"/>
              <w:rPr>
                <w:rFonts w:ascii="仿宋_GB2312" w:hAnsi="宋体" w:eastAsia="仿宋_GB2312" w:cs="宋体"/>
                <w:kern w:val="0"/>
                <w:sz w:val="18"/>
                <w:szCs w:val="18"/>
                <w:highlight w:val="cyan"/>
              </w:rPr>
            </w:pP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上级补助收入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nil"/>
              <w:bottom w:val="single" w:color="auto" w:sz="4" w:space="0"/>
              <w:right w:val="single" w:color="auto" w:sz="4" w:space="0"/>
            </w:tcBorders>
            <w:vAlign w:val="center"/>
          </w:tcPr>
          <w:p>
            <w:pPr>
              <w:widowControl/>
              <w:jc w:val="left"/>
              <w:rPr>
                <w:rFonts w:hint="default" w:ascii="仿宋_GB2312" w:hAnsi="宋体" w:eastAsia="仿宋_GB2312" w:cs="宋体"/>
                <w:kern w:val="0"/>
                <w:sz w:val="18"/>
                <w:szCs w:val="18"/>
                <w:highlight w:val="cyan"/>
                <w:lang w:val="en-US" w:eastAsia="zh-CN"/>
              </w:rPr>
            </w:pP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附属单位上缴收入</w:t>
            </w:r>
          </w:p>
        </w:tc>
        <w:tc>
          <w:tcPr>
            <w:tcW w:w="1297"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nil"/>
              <w:left w:val="nil"/>
              <w:bottom w:val="single" w:color="auto" w:sz="4" w:space="0"/>
              <w:right w:val="single" w:color="auto" w:sz="4" w:space="0"/>
            </w:tcBorders>
            <w:vAlign w:val="center"/>
          </w:tcPr>
          <w:p>
            <w:pPr>
              <w:widowControl/>
              <w:jc w:val="lef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对附属单位的补助支出</w:t>
            </w:r>
          </w:p>
        </w:tc>
        <w:tc>
          <w:tcPr>
            <w:tcW w:w="1323" w:type="dxa"/>
            <w:tcBorders>
              <w:top w:val="nil"/>
              <w:left w:val="nil"/>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rPr>
              <w:t>使用非财政拨款结余</w:t>
            </w:r>
          </w:p>
        </w:tc>
        <w:tc>
          <w:tcPr>
            <w:tcW w:w="1297" w:type="dxa"/>
            <w:tcBorders>
              <w:top w:val="single" w:color="auto" w:sz="4" w:space="0"/>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上缴上级支出</w:t>
            </w:r>
          </w:p>
        </w:tc>
        <w:tc>
          <w:tcPr>
            <w:tcW w:w="1323" w:type="dxa"/>
            <w:tcBorders>
              <w:top w:val="single" w:color="auto" w:sz="4" w:space="0"/>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18"/>
                <w:szCs w:val="18"/>
              </w:rPr>
            </w:pPr>
            <w:r>
              <w:rPr>
                <w:rFonts w:hint="eastAsia" w:ascii="仿宋_GB2312" w:hAnsi="宋体" w:eastAsia="仿宋_GB2312" w:cs="宋体"/>
                <w:kern w:val="0"/>
                <w:sz w:val="18"/>
                <w:szCs w:val="18"/>
              </w:rPr>
              <w:t>上年结转</w:t>
            </w:r>
          </w:p>
        </w:tc>
        <w:tc>
          <w:tcPr>
            <w:tcW w:w="1297" w:type="dxa"/>
            <w:tcBorders>
              <w:top w:val="single" w:color="auto" w:sz="4" w:space="0"/>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c>
          <w:tcPr>
            <w:tcW w:w="3397"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18"/>
                <w:szCs w:val="18"/>
              </w:rPr>
            </w:pPr>
            <w:r>
              <w:rPr>
                <w:rFonts w:hint="eastAsia" w:ascii="仿宋_GB2312" w:hAnsi="宋体" w:eastAsia="仿宋_GB2312" w:cs="宋体"/>
                <w:kern w:val="0"/>
                <w:sz w:val="18"/>
                <w:szCs w:val="18"/>
                <w:lang w:val="en-US" w:eastAsia="zh-CN"/>
              </w:rPr>
              <w:t>结转下年</w:t>
            </w:r>
          </w:p>
        </w:tc>
        <w:tc>
          <w:tcPr>
            <w:tcW w:w="1323" w:type="dxa"/>
            <w:tcBorders>
              <w:top w:val="single" w:color="auto" w:sz="4" w:space="0"/>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18"/>
                <w:szCs w:val="18"/>
                <w:lang w:val="en-US" w:eastAsia="zh-CN" w:bidi="ar-SA"/>
              </w:rPr>
            </w:pPr>
            <w:r>
              <w:rPr>
                <w:rFonts w:hint="eastAsia" w:ascii="仿宋_GB2312" w:hAnsi="宋体" w:eastAsia="仿宋_GB2312" w:cs="宋体"/>
                <w:kern w:val="0"/>
                <w:sz w:val="18"/>
                <w:szCs w:val="18"/>
              </w:rPr>
              <w:t>收 入 总 计</w:t>
            </w:r>
          </w:p>
        </w:tc>
        <w:tc>
          <w:tcPr>
            <w:tcW w:w="1297" w:type="dxa"/>
            <w:tcBorders>
              <w:top w:val="single" w:color="auto" w:sz="4" w:space="0"/>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lang w:val="en-US" w:eastAsia="zh-CN" w:bidi="ar-SA"/>
              </w:rPr>
            </w:pPr>
            <w:r>
              <w:rPr>
                <w:rFonts w:hint="eastAsia" w:ascii="仿宋_GB2312" w:hAnsi="宋体" w:eastAsia="仿宋_GB2312" w:cs="宋体"/>
                <w:kern w:val="0"/>
                <w:sz w:val="18"/>
                <w:szCs w:val="18"/>
                <w:lang w:val="en-US" w:eastAsia="zh-CN"/>
              </w:rPr>
              <w:t>135.72</w:t>
            </w:r>
          </w:p>
        </w:tc>
        <w:tc>
          <w:tcPr>
            <w:tcW w:w="339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18"/>
                <w:szCs w:val="18"/>
                <w:lang w:val="en-US" w:eastAsia="zh-CN" w:bidi="ar-SA"/>
              </w:rPr>
            </w:pPr>
            <w:r>
              <w:rPr>
                <w:rFonts w:hint="eastAsia" w:ascii="仿宋_GB2312" w:hAnsi="宋体" w:eastAsia="仿宋_GB2312" w:cs="宋体"/>
                <w:kern w:val="0"/>
                <w:sz w:val="18"/>
                <w:szCs w:val="18"/>
              </w:rPr>
              <w:t>支 出 总 计</w:t>
            </w:r>
          </w:p>
        </w:tc>
        <w:tc>
          <w:tcPr>
            <w:tcW w:w="1323" w:type="dxa"/>
            <w:tcBorders>
              <w:top w:val="single" w:color="auto" w:sz="4" w:space="0"/>
              <w:left w:val="single" w:color="auto" w:sz="4" w:space="0"/>
              <w:bottom w:val="single" w:color="auto" w:sz="4" w:space="0"/>
              <w:right w:val="single" w:color="auto" w:sz="4" w:space="0"/>
            </w:tcBorders>
            <w:vAlign w:val="center"/>
          </w:tcPr>
          <w:p>
            <w:pPr>
              <w:widowControl/>
              <w:jc w:val="right"/>
              <w:rPr>
                <w:rFonts w:ascii="仿宋_GB2312" w:hAnsi="宋体" w:eastAsia="仿宋_GB2312" w:cs="宋体"/>
                <w:kern w:val="0"/>
                <w:sz w:val="18"/>
                <w:szCs w:val="18"/>
                <w:lang w:val="en-US" w:eastAsia="zh-CN" w:bidi="ar-SA"/>
              </w:rPr>
            </w:pPr>
            <w:r>
              <w:rPr>
                <w:rFonts w:hint="eastAsia" w:ascii="仿宋_GB2312" w:hAnsi="宋体" w:eastAsia="仿宋_GB2312" w:cs="宋体"/>
                <w:kern w:val="0"/>
                <w:sz w:val="18"/>
                <w:szCs w:val="18"/>
                <w:lang w:val="en-US" w:eastAsia="zh-CN"/>
              </w:rPr>
              <w:t>135.72</w:t>
            </w:r>
          </w:p>
        </w:tc>
      </w:tr>
    </w:tbl>
    <w:p>
      <w:pPr>
        <w:rPr>
          <w:rFonts w:ascii="黑体" w:eastAsia="黑体"/>
          <w:b/>
          <w:sz w:val="30"/>
          <w:szCs w:val="30"/>
        </w:rPr>
        <w:sectPr>
          <w:footerReference r:id="rId3" w:type="default"/>
          <w:footerReference r:id="rId4" w:type="even"/>
          <w:pgSz w:w="11906" w:h="16838"/>
          <w:pgMar w:top="2041" w:right="1701" w:bottom="2041" w:left="1701" w:header="851" w:footer="992" w:gutter="0"/>
          <w:pgNumType w:start="0"/>
          <w:cols w:space="720" w:num="1"/>
          <w:titlePg/>
          <w:docGrid w:type="lines" w:linePitch="312" w:charSpace="0"/>
        </w:sectPr>
      </w:pPr>
    </w:p>
    <w:tbl>
      <w:tblPr>
        <w:tblStyle w:val="8"/>
        <w:tblW w:w="14786" w:type="dxa"/>
        <w:tblInd w:w="0" w:type="dxa"/>
        <w:tblLayout w:type="fixed"/>
        <w:tblCellMar>
          <w:top w:w="0" w:type="dxa"/>
          <w:left w:w="108" w:type="dxa"/>
          <w:bottom w:w="0" w:type="dxa"/>
          <w:right w:w="108" w:type="dxa"/>
        </w:tblCellMar>
      </w:tblPr>
      <w:tblGrid>
        <w:gridCol w:w="824"/>
        <w:gridCol w:w="826"/>
        <w:gridCol w:w="920"/>
        <w:gridCol w:w="1525"/>
        <w:gridCol w:w="1077"/>
        <w:gridCol w:w="1077"/>
        <w:gridCol w:w="1077"/>
        <w:gridCol w:w="1077"/>
        <w:gridCol w:w="1077"/>
        <w:gridCol w:w="663"/>
        <w:gridCol w:w="663"/>
        <w:gridCol w:w="663"/>
        <w:gridCol w:w="663"/>
        <w:gridCol w:w="663"/>
        <w:gridCol w:w="663"/>
        <w:gridCol w:w="664"/>
        <w:gridCol w:w="664"/>
      </w:tblGrid>
      <w:tr>
        <w:tblPrEx>
          <w:tblCellMar>
            <w:top w:w="0" w:type="dxa"/>
            <w:left w:w="108" w:type="dxa"/>
            <w:bottom w:w="0" w:type="dxa"/>
            <w:right w:w="108" w:type="dxa"/>
          </w:tblCellMar>
        </w:tblPrEx>
        <w:trPr>
          <w:trHeight w:val="360" w:hRule="atLeast"/>
          <w:tblHeader/>
        </w:trPr>
        <w:tc>
          <w:tcPr>
            <w:tcW w:w="14786" w:type="dxa"/>
            <w:gridSpan w:val="17"/>
            <w:tcBorders>
              <w:bottom w:val="single" w:color="auto" w:sz="4" w:space="0"/>
            </w:tcBorders>
            <w:shd w:val="clear" w:color="000000" w:fill="FFFFFF"/>
            <w:vAlign w:val="center"/>
          </w:tcPr>
          <w:p>
            <w:pPr>
              <w:jc w:val="right"/>
              <w:rPr>
                <w:rFonts w:hint="eastAsia" w:ascii="黑体" w:hAnsi="黑体" w:eastAsia="黑体"/>
                <w:bCs/>
                <w:szCs w:val="21"/>
              </w:rPr>
            </w:pPr>
          </w:p>
          <w:p>
            <w:pPr>
              <w:jc w:val="right"/>
              <w:rPr>
                <w:rFonts w:ascii="黑体" w:hAnsi="黑体" w:eastAsia="黑体"/>
                <w:bCs/>
                <w:szCs w:val="21"/>
              </w:rPr>
            </w:pPr>
            <w:r>
              <w:rPr>
                <w:rFonts w:hint="eastAsia" w:ascii="黑体" w:hAnsi="黑体" w:eastAsia="黑体"/>
                <w:bCs/>
                <w:szCs w:val="21"/>
              </w:rPr>
              <w:t>公开表2</w:t>
            </w:r>
          </w:p>
          <w:p>
            <w:pPr>
              <w:jc w:val="center"/>
              <w:rPr>
                <w:rFonts w:ascii="黑体" w:hAnsi="黑体" w:eastAsia="黑体"/>
                <w:bCs/>
                <w:sz w:val="28"/>
                <w:szCs w:val="28"/>
              </w:rPr>
            </w:pPr>
            <w:r>
              <w:rPr>
                <w:rFonts w:hint="eastAsia" w:ascii="黑体" w:hAnsi="黑体" w:eastAsia="黑体"/>
                <w:bCs/>
                <w:sz w:val="28"/>
                <w:szCs w:val="28"/>
              </w:rPr>
              <w:t>收入总体情况表</w:t>
            </w:r>
          </w:p>
          <w:p>
            <w:pPr>
              <w:widowControl/>
              <w:adjustRightInd w:val="0"/>
              <w:snapToGrid w:val="0"/>
              <w:jc w:val="right"/>
              <w:rPr>
                <w:rFonts w:ascii="黑体" w:hAnsi="黑体" w:eastAsia="黑体" w:cs="Arial"/>
                <w:color w:val="000000"/>
                <w:kern w:val="0"/>
                <w:sz w:val="18"/>
                <w:szCs w:val="18"/>
              </w:rPr>
            </w:pPr>
            <w:r>
              <w:rPr>
                <w:rFonts w:hint="eastAsia" w:ascii="仿宋_GB2312" w:hAnsi="宋体" w:eastAsia="仿宋_GB2312" w:cs="宋体"/>
                <w:kern w:val="0"/>
                <w:sz w:val="20"/>
                <w:szCs w:val="20"/>
              </w:rPr>
              <w:t>单位：万元</w:t>
            </w:r>
          </w:p>
        </w:tc>
      </w:tr>
      <w:tr>
        <w:tblPrEx>
          <w:tblCellMar>
            <w:top w:w="0" w:type="dxa"/>
            <w:left w:w="108" w:type="dxa"/>
            <w:bottom w:w="0" w:type="dxa"/>
            <w:right w:w="108" w:type="dxa"/>
          </w:tblCellMar>
        </w:tblPrEx>
        <w:trPr>
          <w:trHeight w:val="360" w:hRule="atLeast"/>
          <w:tblHeader/>
        </w:trPr>
        <w:tc>
          <w:tcPr>
            <w:tcW w:w="2570"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科目编码</w:t>
            </w:r>
          </w:p>
        </w:tc>
        <w:tc>
          <w:tcPr>
            <w:tcW w:w="1525"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科目名称</w:t>
            </w:r>
          </w:p>
        </w:tc>
        <w:tc>
          <w:tcPr>
            <w:tcW w:w="107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合计</w:t>
            </w:r>
          </w:p>
        </w:tc>
        <w:tc>
          <w:tcPr>
            <w:tcW w:w="4308" w:type="dxa"/>
            <w:gridSpan w:val="4"/>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财政拨款收入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财政</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专户</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管理</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资金</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事业</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事业</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单位</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经营</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lang w:val="en-US" w:eastAsia="zh-CN"/>
              </w:rPr>
            </w:pPr>
            <w:r>
              <w:rPr>
                <w:rFonts w:hint="eastAsia" w:ascii="黑体" w:hAnsi="黑体" w:eastAsia="黑体" w:cs="Arial"/>
                <w:color w:val="000000"/>
                <w:kern w:val="0"/>
                <w:sz w:val="18"/>
                <w:szCs w:val="18"/>
                <w:lang w:val="en-US" w:eastAsia="zh-CN"/>
              </w:rPr>
              <w:t>其他</w:t>
            </w:r>
          </w:p>
          <w:p>
            <w:pPr>
              <w:widowControl/>
              <w:adjustRightInd w:val="0"/>
              <w:snapToGrid w:val="0"/>
              <w:jc w:val="center"/>
              <w:rPr>
                <w:rFonts w:hint="default" w:ascii="黑体" w:hAnsi="黑体" w:eastAsia="黑体" w:cs="Arial"/>
                <w:color w:val="000000"/>
                <w:kern w:val="0"/>
                <w:sz w:val="18"/>
                <w:szCs w:val="18"/>
                <w:lang w:val="en-US" w:eastAsia="zh-CN"/>
              </w:rPr>
            </w:pPr>
            <w:r>
              <w:rPr>
                <w:rFonts w:hint="eastAsia" w:ascii="黑体" w:hAnsi="黑体" w:eastAsia="黑体" w:cs="Arial"/>
                <w:color w:val="000000"/>
                <w:kern w:val="0"/>
                <w:sz w:val="18"/>
                <w:szCs w:val="18"/>
                <w:lang w:val="en-US" w:eastAsia="zh-CN"/>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上级</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补助</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附属</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单位</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上缴</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收入</w:t>
            </w:r>
          </w:p>
        </w:tc>
        <w:tc>
          <w:tcPr>
            <w:tcW w:w="664"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使用</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非财</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政拨</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款结</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余</w:t>
            </w:r>
          </w:p>
        </w:tc>
        <w:tc>
          <w:tcPr>
            <w:tcW w:w="664" w:type="dxa"/>
            <w:vMerge w:val="restart"/>
            <w:tcBorders>
              <w:top w:val="single" w:color="auto" w:sz="4" w:space="0"/>
              <w:left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上年</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结转</w:t>
            </w:r>
          </w:p>
        </w:tc>
      </w:tr>
      <w:tr>
        <w:tblPrEx>
          <w:tblCellMar>
            <w:top w:w="0" w:type="dxa"/>
            <w:left w:w="108" w:type="dxa"/>
            <w:bottom w:w="0" w:type="dxa"/>
            <w:right w:w="108" w:type="dxa"/>
          </w:tblCellMar>
        </w:tblPrEx>
        <w:trPr>
          <w:trHeight w:val="1349" w:hRule="atLeast"/>
          <w:tblHeader/>
        </w:trPr>
        <w:tc>
          <w:tcPr>
            <w:tcW w:w="824"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类</w:t>
            </w:r>
          </w:p>
        </w:tc>
        <w:tc>
          <w:tcPr>
            <w:tcW w:w="82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款</w:t>
            </w:r>
          </w:p>
        </w:tc>
        <w:tc>
          <w:tcPr>
            <w:tcW w:w="92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项</w:t>
            </w:r>
          </w:p>
        </w:tc>
        <w:tc>
          <w:tcPr>
            <w:tcW w:w="152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1077"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小计</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一般公共</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预算收入</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政府性</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基金预算收入</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国有资本</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经营预算</w:t>
            </w:r>
          </w:p>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收入</w:t>
            </w: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66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664" w:type="dxa"/>
            <w:vMerge w:val="continue"/>
            <w:tcBorders>
              <w:left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p>
        </w:tc>
      </w:tr>
      <w:tr>
        <w:tblPrEx>
          <w:tblCellMar>
            <w:top w:w="0" w:type="dxa"/>
            <w:left w:w="108" w:type="dxa"/>
            <w:bottom w:w="0" w:type="dxa"/>
            <w:right w:w="108" w:type="dxa"/>
          </w:tblCellMar>
        </w:tblPrEx>
        <w:trPr>
          <w:trHeight w:val="458" w:hRule="atLeast"/>
        </w:trPr>
        <w:tc>
          <w:tcPr>
            <w:tcW w:w="409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xml:space="preserve">合 </w:t>
            </w:r>
            <w:r>
              <w:rPr>
                <w:rFonts w:ascii="仿宋_GB2312" w:hAnsi="宋体" w:eastAsia="仿宋_GB2312" w:cs="Arial"/>
                <w:color w:val="000000"/>
                <w:kern w:val="0"/>
                <w:sz w:val="18"/>
                <w:szCs w:val="18"/>
              </w:rPr>
              <w:t xml:space="preserve">   </w:t>
            </w:r>
            <w:r>
              <w:rPr>
                <w:rFonts w:hint="eastAsia" w:ascii="仿宋_GB2312" w:hAnsi="宋体" w:eastAsia="仿宋_GB2312" w:cs="Arial"/>
                <w:color w:val="000000"/>
                <w:kern w:val="0"/>
                <w:sz w:val="18"/>
                <w:szCs w:val="18"/>
              </w:rPr>
              <w:t>计</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135.72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一般公共服务支出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34</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统战事务</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34</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行政运行</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8.66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8.66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8.66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05</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行政事业单位养老支出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8.30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05</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05</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机关事业单位基本养老保险缴费</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p>
            <w:pPr>
              <w:widowControl/>
              <w:adjustRightInd w:val="0"/>
              <w:snapToGrid w:val="0"/>
              <w:jc w:val="both"/>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99</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其他社会保障和就业支出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99</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99</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其他社会保障和就业支出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both"/>
              <w:rPr>
                <w:rFonts w:hint="eastAsia" w:ascii="仿宋_GB2312" w:hAnsi="宋体" w:eastAsia="仿宋_GB2312" w:cs="Arial"/>
                <w:color w:val="000000"/>
                <w:kern w:val="0"/>
                <w:sz w:val="18"/>
                <w:szCs w:val="18"/>
                <w:lang w:val="en-US" w:eastAsia="zh-CN"/>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卫生健康支出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5.29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5.29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5.29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行政事业单位医疗</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5.29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5.29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5.29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行政单位医疗</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4.25</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4.25</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4.25</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公务员医疗补助</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1.04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1.04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1.04</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住房保障支出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02</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住房改革支出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02</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eastAsia="zh-CN"/>
              </w:rPr>
            </w:pPr>
            <w:r>
              <w:rPr>
                <w:rFonts w:hint="eastAsia" w:ascii="仿宋_GB2312" w:hAnsi="宋体" w:eastAsia="仿宋_GB2312" w:cs="Arial"/>
                <w:color w:val="000000"/>
                <w:kern w:val="0"/>
                <w:sz w:val="18"/>
                <w:szCs w:val="18"/>
                <w:lang w:eastAsia="zh-CN"/>
              </w:rPr>
              <w:t>住房公积金</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p>
        </w:tc>
      </w:tr>
    </w:tbl>
    <w:p>
      <w:pPr>
        <w:widowControl/>
        <w:jc w:val="left"/>
        <w:rPr>
          <w:rFonts w:ascii="宋体" w:hAnsi="宋体"/>
          <w:b/>
          <w:szCs w:val="21"/>
        </w:rPr>
      </w:pPr>
    </w:p>
    <w:p>
      <w:pPr>
        <w:widowControl/>
        <w:jc w:val="left"/>
        <w:rPr>
          <w:rFonts w:ascii="宋体" w:hAnsi="宋体"/>
          <w:b/>
          <w:szCs w:val="21"/>
        </w:rPr>
      </w:pPr>
      <w:r>
        <w:rPr>
          <w:rFonts w:ascii="宋体" w:hAnsi="宋体"/>
          <w:b/>
          <w:szCs w:val="21"/>
        </w:rPr>
        <w:br w:type="page"/>
      </w:r>
    </w:p>
    <w:tbl>
      <w:tblPr>
        <w:tblStyle w:val="8"/>
        <w:tblW w:w="14786" w:type="dxa"/>
        <w:tblInd w:w="0" w:type="dxa"/>
        <w:tblLayout w:type="fixed"/>
        <w:tblCellMar>
          <w:top w:w="0" w:type="dxa"/>
          <w:left w:w="108" w:type="dxa"/>
          <w:bottom w:w="0" w:type="dxa"/>
          <w:right w:w="108" w:type="dxa"/>
        </w:tblCellMar>
      </w:tblPr>
      <w:tblGrid>
        <w:gridCol w:w="1227"/>
        <w:gridCol w:w="1227"/>
        <w:gridCol w:w="1227"/>
        <w:gridCol w:w="1227"/>
        <w:gridCol w:w="1411"/>
        <w:gridCol w:w="1411"/>
        <w:gridCol w:w="1411"/>
        <w:gridCol w:w="1411"/>
        <w:gridCol w:w="1411"/>
        <w:gridCol w:w="1411"/>
        <w:gridCol w:w="1412"/>
      </w:tblGrid>
      <w:tr>
        <w:tblPrEx>
          <w:tblCellMar>
            <w:top w:w="0" w:type="dxa"/>
            <w:left w:w="108" w:type="dxa"/>
            <w:bottom w:w="0" w:type="dxa"/>
            <w:right w:w="108" w:type="dxa"/>
          </w:tblCellMar>
        </w:tblPrEx>
        <w:trPr>
          <w:trHeight w:val="360" w:hRule="atLeast"/>
          <w:tblHeader/>
        </w:trPr>
        <w:tc>
          <w:tcPr>
            <w:tcW w:w="14786" w:type="dxa"/>
            <w:gridSpan w:val="11"/>
            <w:tcBorders>
              <w:bottom w:val="single" w:color="auto" w:sz="4" w:space="0"/>
            </w:tcBorders>
            <w:shd w:val="clear" w:color="000000" w:fill="FFFFFF"/>
            <w:vAlign w:val="center"/>
          </w:tcPr>
          <w:p>
            <w:pPr>
              <w:jc w:val="right"/>
              <w:rPr>
                <w:rFonts w:ascii="黑体" w:hAnsi="黑体" w:eastAsia="黑体"/>
                <w:bCs/>
                <w:szCs w:val="21"/>
              </w:rPr>
            </w:pPr>
            <w:r>
              <w:rPr>
                <w:rFonts w:hint="eastAsia" w:ascii="黑体" w:hAnsi="黑体" w:eastAsia="黑体"/>
                <w:bCs/>
                <w:szCs w:val="21"/>
              </w:rPr>
              <w:t>公开表3</w:t>
            </w:r>
          </w:p>
          <w:p>
            <w:pPr>
              <w:jc w:val="center"/>
              <w:rPr>
                <w:rFonts w:ascii="黑体" w:hAnsi="黑体" w:eastAsia="黑体"/>
                <w:bCs/>
                <w:sz w:val="28"/>
                <w:szCs w:val="28"/>
              </w:rPr>
            </w:pPr>
            <w:r>
              <w:rPr>
                <w:rFonts w:hint="eastAsia" w:ascii="黑体" w:hAnsi="黑体" w:eastAsia="黑体"/>
                <w:bCs/>
                <w:sz w:val="28"/>
                <w:szCs w:val="28"/>
              </w:rPr>
              <w:t>支出总体情况表</w:t>
            </w:r>
          </w:p>
          <w:p>
            <w:pPr>
              <w:jc w:val="right"/>
              <w:rPr>
                <w:rFonts w:hint="eastAsia"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108" w:type="dxa"/>
            <w:bottom w:w="0" w:type="dxa"/>
            <w:right w:w="108" w:type="dxa"/>
          </w:tblCellMar>
        </w:tblPrEx>
        <w:trPr>
          <w:trHeight w:val="360" w:hRule="atLeast"/>
          <w:tblHeader/>
        </w:trPr>
        <w:tc>
          <w:tcPr>
            <w:tcW w:w="3681"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科目编码</w:t>
            </w:r>
          </w:p>
        </w:tc>
        <w:tc>
          <w:tcPr>
            <w:tcW w:w="122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科目名称</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合计</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基本支出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项目支出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上缴上级</w:t>
            </w:r>
            <w:r>
              <w:rPr>
                <w:rFonts w:hint="eastAsia" w:ascii="黑体" w:hAnsi="黑体" w:eastAsia="黑体" w:cs="Arial"/>
                <w:color w:val="000000"/>
                <w:kern w:val="0"/>
                <w:sz w:val="18"/>
                <w:szCs w:val="18"/>
              </w:rPr>
              <w:br w:type="textWrapping"/>
            </w:r>
            <w:r>
              <w:rPr>
                <w:rFonts w:hint="eastAsia" w:ascii="黑体" w:hAnsi="黑体" w:eastAsia="黑体" w:cs="Arial"/>
                <w:color w:val="000000"/>
                <w:kern w:val="0"/>
                <w:sz w:val="18"/>
                <w:szCs w:val="18"/>
              </w:rPr>
              <w:t>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对附属单位</w:t>
            </w:r>
          </w:p>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补助支出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黑体" w:hAnsi="黑体" w:eastAsia="黑体" w:cs="Arial"/>
                <w:color w:val="000000"/>
                <w:kern w:val="0"/>
                <w:sz w:val="18"/>
                <w:szCs w:val="18"/>
                <w:lang w:val="en-US" w:eastAsia="zh-CN"/>
              </w:rPr>
            </w:pPr>
            <w:r>
              <w:rPr>
                <w:rFonts w:hint="eastAsia" w:ascii="黑体" w:hAnsi="黑体" w:eastAsia="黑体" w:cs="Arial"/>
                <w:color w:val="000000"/>
                <w:kern w:val="0"/>
                <w:sz w:val="18"/>
                <w:szCs w:val="18"/>
              </w:rPr>
              <w:t>事业单位</w:t>
            </w:r>
            <w:r>
              <w:rPr>
                <w:rFonts w:hint="eastAsia" w:ascii="黑体" w:hAnsi="黑体" w:eastAsia="黑体" w:cs="Arial"/>
                <w:color w:val="000000"/>
                <w:kern w:val="0"/>
                <w:sz w:val="18"/>
                <w:szCs w:val="18"/>
              </w:rPr>
              <w:br w:type="textWrapping"/>
            </w:r>
            <w:r>
              <w:rPr>
                <w:rFonts w:hint="eastAsia" w:ascii="黑体" w:hAnsi="黑体" w:eastAsia="黑体" w:cs="Arial"/>
                <w:color w:val="000000"/>
                <w:kern w:val="0"/>
                <w:sz w:val="18"/>
                <w:szCs w:val="18"/>
              </w:rPr>
              <w:t>经营支出</w:t>
            </w:r>
          </w:p>
        </w:tc>
        <w:tc>
          <w:tcPr>
            <w:tcW w:w="1412" w:type="dxa"/>
            <w:vMerge w:val="restart"/>
            <w:tcBorders>
              <w:top w:val="single" w:color="auto" w:sz="4" w:space="0"/>
              <w:left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lang w:val="en-US" w:eastAsia="zh-CN"/>
              </w:rPr>
            </w:pPr>
            <w:r>
              <w:rPr>
                <w:rFonts w:hint="eastAsia" w:ascii="黑体" w:hAnsi="黑体" w:eastAsia="黑体" w:cs="Arial"/>
                <w:color w:val="000000"/>
                <w:kern w:val="0"/>
                <w:sz w:val="18"/>
                <w:szCs w:val="18"/>
                <w:lang w:val="en-US" w:eastAsia="zh-CN"/>
              </w:rPr>
              <w:t>结转下年</w:t>
            </w:r>
          </w:p>
        </w:tc>
      </w:tr>
      <w:tr>
        <w:tblPrEx>
          <w:tblCellMar>
            <w:top w:w="0" w:type="dxa"/>
            <w:left w:w="108" w:type="dxa"/>
            <w:bottom w:w="0" w:type="dxa"/>
            <w:right w:w="108" w:type="dxa"/>
          </w:tblCellMar>
        </w:tblPrEx>
        <w:trPr>
          <w:trHeight w:val="439" w:hRule="atLeast"/>
          <w:tblHeader/>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类</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款</w:t>
            </w:r>
          </w:p>
        </w:tc>
        <w:tc>
          <w:tcPr>
            <w:tcW w:w="122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黑体" w:hAnsi="黑体" w:eastAsia="黑体" w:cs="Arial"/>
                <w:color w:val="000000"/>
                <w:kern w:val="0"/>
                <w:sz w:val="18"/>
                <w:szCs w:val="18"/>
              </w:rPr>
            </w:pPr>
            <w:r>
              <w:rPr>
                <w:rFonts w:hint="eastAsia" w:ascii="黑体" w:hAnsi="黑体" w:eastAsia="黑体" w:cs="Arial"/>
                <w:color w:val="000000"/>
                <w:kern w:val="0"/>
                <w:sz w:val="18"/>
                <w:szCs w:val="18"/>
              </w:rPr>
              <w:t>项</w:t>
            </w:r>
          </w:p>
        </w:tc>
        <w:tc>
          <w:tcPr>
            <w:tcW w:w="1227"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c>
          <w:tcPr>
            <w:tcW w:w="1412" w:type="dxa"/>
            <w:vMerge w:val="continue"/>
            <w:tcBorders>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Arial"/>
                <w:color w:val="000000"/>
                <w:kern w:val="0"/>
                <w:sz w:val="18"/>
                <w:szCs w:val="18"/>
              </w:rPr>
            </w:pPr>
          </w:p>
        </w:tc>
      </w:tr>
      <w:tr>
        <w:tblPrEx>
          <w:tblCellMar>
            <w:top w:w="0" w:type="dxa"/>
            <w:left w:w="108" w:type="dxa"/>
            <w:bottom w:w="0" w:type="dxa"/>
            <w:right w:w="108" w:type="dxa"/>
          </w:tblCellMar>
        </w:tblPrEx>
        <w:trPr>
          <w:trHeight w:val="454" w:hRule="atLeast"/>
        </w:trPr>
        <w:tc>
          <w:tcPr>
            <w:tcW w:w="4908"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xml:space="preserve">合 </w:t>
            </w:r>
            <w:r>
              <w:rPr>
                <w:rFonts w:ascii="仿宋_GB2312" w:hAnsi="宋体" w:eastAsia="仿宋_GB2312" w:cs="Arial"/>
                <w:color w:val="000000"/>
                <w:kern w:val="0"/>
                <w:sz w:val="18"/>
                <w:szCs w:val="18"/>
              </w:rPr>
              <w:t xml:space="preserve">   </w:t>
            </w:r>
            <w:r>
              <w:rPr>
                <w:rFonts w:hint="eastAsia" w:ascii="仿宋_GB2312" w:hAnsi="宋体" w:eastAsia="仿宋_GB2312" w:cs="Arial"/>
                <w:color w:val="000000"/>
                <w:kern w:val="0"/>
                <w:sz w:val="18"/>
                <w:szCs w:val="18"/>
              </w:rPr>
              <w:t>计</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85.72</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50</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一般公共服务支出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114.59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64.59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34</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统战事务</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64.59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34</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行政运行</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64.59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8.66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8.66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行政事业单位养老支出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8.30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机关事业单位基本养老保险缴费支出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8.30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其他社会保障和就业支出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0.36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0.36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both"/>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其他社会保障和就业支出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0.36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0.36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卫生健康支出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5.29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5.29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ascii="仿宋_GB2312" w:hAnsi="宋体" w:eastAsia="仿宋_GB2312" w:cs="Arial"/>
                <w:color w:val="000000"/>
                <w:kern w:val="0"/>
                <w:sz w:val="18"/>
                <w:szCs w:val="18"/>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行政事业单位医疗</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5.29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5.29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行政单位医疗</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4.25</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4.25</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03</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公务员医疗补助</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1.04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1.04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住房保障支出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7.18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02</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住房改革支出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454"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221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02</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住房公积金</w:t>
            </w:r>
          </w:p>
        </w:tc>
        <w:tc>
          <w:tcPr>
            <w:tcW w:w="0" w:type="auto"/>
            <w:tcBorders>
              <w:top w:val="single" w:color="auto" w:sz="4" w:space="0"/>
              <w:left w:val="single" w:color="auto" w:sz="4" w:space="0"/>
              <w:bottom w:val="single" w:color="auto" w:sz="4" w:space="0"/>
              <w:right w:val="single" w:color="auto" w:sz="4" w:space="0"/>
            </w:tcBorders>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0" w:type="auto"/>
            <w:tcBorders>
              <w:top w:val="single" w:color="auto" w:sz="4" w:space="0"/>
              <w:left w:val="single" w:color="auto" w:sz="4" w:space="0"/>
              <w:bottom w:val="single" w:color="auto" w:sz="4" w:space="0"/>
              <w:right w:val="single" w:color="auto" w:sz="4" w:space="0"/>
            </w:tcBorders>
          </w:tcPr>
          <w:p>
            <w:pPr>
              <w:widowControl/>
              <w:adjustRightInd w:val="0"/>
              <w:snapToGrid w:val="0"/>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7.18</w:t>
            </w:r>
          </w:p>
        </w:tc>
        <w:tc>
          <w:tcPr>
            <w:tcW w:w="0" w:type="auto"/>
            <w:tcBorders>
              <w:top w:val="single" w:color="auto" w:sz="4" w:space="0"/>
              <w:left w:val="single" w:color="auto" w:sz="4" w:space="0"/>
              <w:bottom w:val="single" w:color="auto" w:sz="4" w:space="0"/>
              <w:right w:val="single" w:color="auto" w:sz="4" w:space="0"/>
            </w:tcBorders>
          </w:tcPr>
          <w:p>
            <w:pPr>
              <w:widowControl/>
              <w:adjustRightInd w:val="0"/>
              <w:snapToGrid w:val="0"/>
              <w:jc w:val="center"/>
              <w:rPr>
                <w:rFonts w:ascii="仿宋_GB2312" w:hAnsi="宋体" w:eastAsia="仿宋_GB2312" w:cs="Arial"/>
                <w:color w:val="000000"/>
                <w:kern w:val="0"/>
                <w:sz w:val="18"/>
                <w:szCs w:val="18"/>
              </w:rPr>
            </w:pPr>
          </w:p>
        </w:tc>
        <w:tc>
          <w:tcPr>
            <w:tcW w:w="0" w:type="auto"/>
            <w:tcBorders>
              <w:top w:val="single" w:color="auto" w:sz="4" w:space="0"/>
              <w:left w:val="single" w:color="auto" w:sz="4" w:space="0"/>
              <w:bottom w:val="single" w:color="auto" w:sz="4" w:space="0"/>
              <w:right w:val="single" w:color="auto" w:sz="4" w:space="0"/>
            </w:tcBorders>
          </w:tcPr>
          <w:p>
            <w:pPr>
              <w:widowControl/>
              <w:adjustRightInd w:val="0"/>
              <w:snapToGrid w:val="0"/>
              <w:jc w:val="center"/>
              <w:rPr>
                <w:rFonts w:ascii="仿宋_GB2312" w:hAnsi="宋体" w:eastAsia="仿宋_GB2312" w:cs="Arial"/>
                <w:color w:val="000000"/>
                <w:kern w:val="0"/>
                <w:sz w:val="18"/>
                <w:szCs w:val="18"/>
              </w:rPr>
            </w:pPr>
          </w:p>
        </w:tc>
        <w:tc>
          <w:tcPr>
            <w:tcW w:w="0" w:type="auto"/>
            <w:tcBorders>
              <w:top w:val="single" w:color="auto" w:sz="4" w:space="0"/>
              <w:left w:val="single" w:color="auto" w:sz="4" w:space="0"/>
              <w:bottom w:val="single" w:color="auto" w:sz="4" w:space="0"/>
              <w:right w:val="single" w:color="auto" w:sz="4" w:space="0"/>
            </w:tcBorders>
          </w:tcPr>
          <w:p>
            <w:pPr>
              <w:widowControl/>
              <w:adjustRightInd w:val="0"/>
              <w:snapToGrid w:val="0"/>
              <w:jc w:val="center"/>
              <w:rPr>
                <w:rFonts w:ascii="仿宋_GB2312" w:hAnsi="宋体" w:eastAsia="仿宋_GB2312" w:cs="Arial"/>
                <w:color w:val="000000"/>
                <w:kern w:val="0"/>
                <w:sz w:val="18"/>
                <w:szCs w:val="18"/>
              </w:rPr>
            </w:pPr>
          </w:p>
        </w:tc>
        <w:tc>
          <w:tcPr>
            <w:tcW w:w="0" w:type="auto"/>
            <w:tcBorders>
              <w:top w:val="single" w:color="auto" w:sz="4" w:space="0"/>
              <w:left w:val="single" w:color="auto" w:sz="4" w:space="0"/>
              <w:bottom w:val="single" w:color="auto" w:sz="4" w:space="0"/>
              <w:right w:val="single" w:color="auto" w:sz="4" w:space="0"/>
            </w:tcBorders>
          </w:tcPr>
          <w:p>
            <w:pPr>
              <w:widowControl/>
              <w:adjustRightInd w:val="0"/>
              <w:snapToGrid w:val="0"/>
              <w:jc w:val="center"/>
              <w:rPr>
                <w:rFonts w:ascii="仿宋_GB2312" w:hAnsi="宋体" w:eastAsia="仿宋_GB2312" w:cs="Arial"/>
                <w:color w:val="000000"/>
                <w:kern w:val="0"/>
                <w:sz w:val="18"/>
                <w:szCs w:val="18"/>
              </w:rPr>
            </w:pPr>
          </w:p>
        </w:tc>
        <w:tc>
          <w:tcPr>
            <w:tcW w:w="0" w:type="auto"/>
            <w:tcBorders>
              <w:top w:val="single" w:color="auto" w:sz="4" w:space="0"/>
              <w:left w:val="single" w:color="auto" w:sz="4" w:space="0"/>
              <w:bottom w:val="single" w:color="auto" w:sz="4" w:space="0"/>
              <w:right w:val="single" w:color="auto" w:sz="4" w:space="0"/>
            </w:tcBorders>
          </w:tcPr>
          <w:p>
            <w:pPr>
              <w:widowControl/>
              <w:adjustRightInd w:val="0"/>
              <w:snapToGrid w:val="0"/>
              <w:jc w:val="center"/>
              <w:rPr>
                <w:rFonts w:ascii="仿宋_GB2312" w:hAnsi="宋体" w:eastAsia="仿宋_GB2312" w:cs="Arial"/>
                <w:color w:val="000000"/>
                <w:kern w:val="0"/>
                <w:sz w:val="18"/>
                <w:szCs w:val="18"/>
              </w:rPr>
            </w:pPr>
          </w:p>
        </w:tc>
      </w:tr>
    </w:tbl>
    <w:p>
      <w:pPr>
        <w:jc w:val="right"/>
        <w:rPr>
          <w:rFonts w:ascii="宋体" w:hAnsi="宋体"/>
          <w:b/>
          <w:szCs w:val="21"/>
        </w:rPr>
      </w:pPr>
    </w:p>
    <w:p>
      <w:pPr>
        <w:widowControl/>
        <w:jc w:val="left"/>
        <w:rPr>
          <w:rFonts w:ascii="宋体" w:hAnsi="宋体"/>
          <w:b/>
          <w:szCs w:val="21"/>
        </w:rPr>
      </w:pPr>
      <w:r>
        <w:rPr>
          <w:rFonts w:ascii="宋体" w:hAnsi="宋体"/>
          <w:b/>
          <w:szCs w:val="21"/>
        </w:rPr>
        <w:br w:type="page"/>
      </w:r>
    </w:p>
    <w:tbl>
      <w:tblPr>
        <w:tblStyle w:val="8"/>
        <w:tblW w:w="14884" w:type="dxa"/>
        <w:tblInd w:w="-34" w:type="dxa"/>
        <w:tblLayout w:type="fixed"/>
        <w:tblCellMar>
          <w:top w:w="0" w:type="dxa"/>
          <w:left w:w="108" w:type="dxa"/>
          <w:bottom w:w="0" w:type="dxa"/>
          <w:right w:w="108" w:type="dxa"/>
        </w:tblCellMar>
      </w:tblPr>
      <w:tblGrid>
        <w:gridCol w:w="2959"/>
        <w:gridCol w:w="1858"/>
        <w:gridCol w:w="3316"/>
        <w:gridCol w:w="1670"/>
        <w:gridCol w:w="1670"/>
        <w:gridCol w:w="1670"/>
        <w:gridCol w:w="1741"/>
      </w:tblGrid>
      <w:tr>
        <w:tblPrEx>
          <w:tblCellMar>
            <w:top w:w="0" w:type="dxa"/>
            <w:left w:w="108" w:type="dxa"/>
            <w:bottom w:w="0" w:type="dxa"/>
            <w:right w:w="108" w:type="dxa"/>
          </w:tblCellMar>
        </w:tblPrEx>
        <w:trPr>
          <w:trHeight w:val="340" w:hRule="atLeast"/>
          <w:tblHeader/>
        </w:trPr>
        <w:tc>
          <w:tcPr>
            <w:tcW w:w="14884" w:type="dxa"/>
            <w:gridSpan w:val="7"/>
            <w:tcBorders>
              <w:bottom w:val="single" w:color="auto" w:sz="4" w:space="0"/>
            </w:tcBorders>
            <w:shd w:val="clear" w:color="000000" w:fill="FFFFFF"/>
            <w:noWrap/>
            <w:vAlign w:val="center"/>
          </w:tcPr>
          <w:p>
            <w:pPr>
              <w:jc w:val="right"/>
              <w:rPr>
                <w:rFonts w:ascii="黑体" w:hAnsi="黑体" w:eastAsia="黑体"/>
                <w:bCs/>
                <w:szCs w:val="21"/>
              </w:rPr>
            </w:pPr>
            <w:r>
              <w:rPr>
                <w:rFonts w:hint="eastAsia" w:ascii="黑体" w:hAnsi="黑体" w:eastAsia="黑体"/>
                <w:bCs/>
                <w:szCs w:val="21"/>
              </w:rPr>
              <w:t>公开表4</w:t>
            </w:r>
          </w:p>
          <w:p>
            <w:pPr>
              <w:jc w:val="center"/>
              <w:rPr>
                <w:rFonts w:ascii="黑体" w:hAnsi="黑体" w:eastAsia="黑体"/>
                <w:bCs/>
                <w:sz w:val="28"/>
                <w:szCs w:val="28"/>
              </w:rPr>
            </w:pPr>
            <w:r>
              <w:rPr>
                <w:rFonts w:hint="eastAsia" w:ascii="黑体" w:hAnsi="黑体" w:eastAsia="黑体"/>
                <w:bCs/>
                <w:sz w:val="28"/>
                <w:szCs w:val="28"/>
              </w:rPr>
              <w:t>财政拨款收支总体情况表</w:t>
            </w:r>
          </w:p>
          <w:p>
            <w:pPr>
              <w:widowControl/>
              <w:jc w:val="right"/>
              <w:rPr>
                <w:rFonts w:ascii="黑体" w:hAnsi="黑体" w:eastAsia="黑体" w:cs="Arial"/>
                <w:color w:val="000000"/>
                <w:kern w:val="0"/>
                <w:sz w:val="18"/>
                <w:szCs w:val="18"/>
              </w:rPr>
            </w:pPr>
            <w:r>
              <w:rPr>
                <w:rFonts w:hint="eastAsia" w:ascii="仿宋_GB2312" w:hAnsi="宋体" w:eastAsia="仿宋_GB2312" w:cs="宋体"/>
                <w:kern w:val="0"/>
                <w:szCs w:val="21"/>
              </w:rPr>
              <w:t>单位：万元</w:t>
            </w:r>
          </w:p>
        </w:tc>
      </w:tr>
      <w:tr>
        <w:tblPrEx>
          <w:tblCellMar>
            <w:top w:w="0" w:type="dxa"/>
            <w:left w:w="108" w:type="dxa"/>
            <w:bottom w:w="0" w:type="dxa"/>
            <w:right w:w="108" w:type="dxa"/>
          </w:tblCellMar>
        </w:tblPrEx>
        <w:trPr>
          <w:trHeight w:val="340" w:hRule="atLeast"/>
          <w:tblHeader/>
        </w:trPr>
        <w:tc>
          <w:tcPr>
            <w:tcW w:w="4817"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    入</w:t>
            </w:r>
          </w:p>
        </w:tc>
        <w:tc>
          <w:tcPr>
            <w:tcW w:w="10067" w:type="dxa"/>
            <w:gridSpan w:val="5"/>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支    出</w:t>
            </w:r>
          </w:p>
        </w:tc>
      </w:tr>
      <w:tr>
        <w:tblPrEx>
          <w:tblCellMar>
            <w:top w:w="0" w:type="dxa"/>
            <w:left w:w="108" w:type="dxa"/>
            <w:bottom w:w="0" w:type="dxa"/>
            <w:right w:w="108" w:type="dxa"/>
          </w:tblCellMar>
        </w:tblPrEx>
        <w:trPr>
          <w:trHeight w:val="340" w:hRule="atLeast"/>
          <w:tblHeader/>
        </w:trPr>
        <w:tc>
          <w:tcPr>
            <w:tcW w:w="2959"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项目</w:t>
            </w:r>
          </w:p>
        </w:tc>
        <w:tc>
          <w:tcPr>
            <w:tcW w:w="1858"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预算数</w:t>
            </w:r>
          </w:p>
        </w:tc>
        <w:tc>
          <w:tcPr>
            <w:tcW w:w="3316"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项 目</w:t>
            </w:r>
          </w:p>
        </w:tc>
        <w:tc>
          <w:tcPr>
            <w:tcW w:w="6751"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预算数</w:t>
            </w:r>
          </w:p>
        </w:tc>
      </w:tr>
      <w:tr>
        <w:tblPrEx>
          <w:tblCellMar>
            <w:top w:w="0" w:type="dxa"/>
            <w:left w:w="108" w:type="dxa"/>
            <w:bottom w:w="0" w:type="dxa"/>
            <w:right w:w="108" w:type="dxa"/>
          </w:tblCellMar>
        </w:tblPrEx>
        <w:trPr>
          <w:trHeight w:val="340" w:hRule="atLeast"/>
          <w:tblHeader/>
        </w:trPr>
        <w:tc>
          <w:tcPr>
            <w:tcW w:w="295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rPr>
            </w:pPr>
          </w:p>
        </w:tc>
        <w:tc>
          <w:tcPr>
            <w:tcW w:w="1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rPr>
            </w:pPr>
          </w:p>
        </w:tc>
        <w:tc>
          <w:tcPr>
            <w:tcW w:w="331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总计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一般公共预算</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政府性基金预算</w:t>
            </w: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国有资本经营预算</w:t>
            </w: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一、一般公共预算收入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135.72</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一、一般公共服务支出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114.59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114.59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二、政府性基金预算收入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二、外交支出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三、国有资本经营预算收入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三、国防支出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四、公共安全支出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五、教育支出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六、科学技术支出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七、文化旅游体育与传媒支出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八、社会保障和就业支出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8.66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8.66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九、卫生健康支出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5.29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5.29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十、节能环保支出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十一、城乡社区支出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十二、农林水支出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十三、交通运输支出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十四、资源勘探工业信息等支出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十五、商业服务业等支出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十六、金融支出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十七、援助其他地区支出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十八、自然资源海洋气象等支出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十九、住房保障支出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7.18</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lang w:val="en-US" w:eastAsia="zh-CN"/>
              </w:rPr>
            </w:pPr>
            <w:r>
              <w:rPr>
                <w:rFonts w:hint="eastAsia" w:ascii="仿宋_GB2312" w:hAnsi="宋体" w:eastAsia="仿宋_GB2312" w:cs="Arial"/>
                <w:color w:val="000000"/>
                <w:kern w:val="0"/>
                <w:sz w:val="18"/>
                <w:szCs w:val="18"/>
                <w:lang w:val="en-US" w:eastAsia="zh-CN"/>
              </w:rPr>
              <w:t>7.18</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二十、粮油物资储备支出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二十一、国有资本经营预算支出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二十二、灾害防治及应急管理支出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二十三、其他支出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本  年  收  入  合  计</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本  年  支  出  合  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上年结转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结转下年</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其中：一般公共预算结转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xml:space="preserve">      政府性基金预算结转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xml:space="preserve">      国有资本经营预算结转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收  入  总  计</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支  出  总  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lang w:val="en-US" w:eastAsia="zh-CN"/>
              </w:rPr>
              <w:t>135.72</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p>
        </w:tc>
      </w:tr>
    </w:tbl>
    <w:p>
      <w:pPr>
        <w:jc w:val="left"/>
        <w:rPr>
          <w:rFonts w:ascii="仿宋_GB2312" w:eastAsia="仿宋_GB2312"/>
          <w:b/>
          <w:sz w:val="30"/>
          <w:szCs w:val="30"/>
        </w:rPr>
      </w:pPr>
      <w:r>
        <w:rPr>
          <w:rFonts w:ascii="仿宋_GB2312" w:eastAsia="仿宋_GB2312"/>
          <w:b/>
          <w:sz w:val="30"/>
          <w:szCs w:val="30"/>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8"/>
        <w:gridCol w:w="3060"/>
        <w:gridCol w:w="1670"/>
        <w:gridCol w:w="1793"/>
        <w:gridCol w:w="1793"/>
        <w:gridCol w:w="1793"/>
        <w:gridCol w:w="1624"/>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rPr>
            </w:pPr>
            <w:bookmarkStart w:id="1" w:name="_Hlk94088461"/>
            <w:r>
              <w:rPr>
                <w:rFonts w:hint="eastAsia" w:ascii="黑体" w:hAnsi="黑体" w:eastAsia="黑体"/>
                <w:bCs/>
                <w:szCs w:val="21"/>
              </w:rPr>
              <w:t>公开表5</w:t>
            </w:r>
          </w:p>
          <w:p>
            <w:pPr>
              <w:jc w:val="center"/>
              <w:rPr>
                <w:rFonts w:ascii="黑体" w:hAnsi="黑体" w:eastAsia="黑体"/>
                <w:bCs/>
                <w:sz w:val="28"/>
                <w:szCs w:val="28"/>
              </w:rPr>
            </w:pPr>
            <w:r>
              <w:rPr>
                <w:rFonts w:hint="eastAsia" w:ascii="黑体" w:hAnsi="黑体" w:eastAsia="黑体"/>
                <w:bCs/>
                <w:sz w:val="28"/>
                <w:szCs w:val="28"/>
              </w:rPr>
              <w:t>一般公共预算支出</w:t>
            </w:r>
            <w:r>
              <w:rPr>
                <w:rFonts w:hint="eastAsia" w:ascii="黑体" w:hAnsi="黑体" w:eastAsia="黑体"/>
                <w:bCs/>
                <w:sz w:val="28"/>
                <w:szCs w:val="28"/>
                <w:lang w:val="en-US" w:eastAsia="zh-CN"/>
              </w:rPr>
              <w:t>情况</w:t>
            </w:r>
            <w:r>
              <w:rPr>
                <w:rFonts w:hint="eastAsia" w:ascii="黑体" w:hAnsi="黑体" w:eastAsia="黑体"/>
                <w:bCs/>
                <w:sz w:val="28"/>
                <w:szCs w:val="28"/>
              </w:rPr>
              <w:t>表</w:t>
            </w:r>
          </w:p>
          <w:p>
            <w:pPr>
              <w:widowControl/>
              <w:jc w:val="right"/>
              <w:textAlignment w:val="center"/>
              <w:rPr>
                <w:rFonts w:ascii="宋体" w:hAnsi="宋体" w:cs="宋体"/>
                <w:color w:val="000000"/>
                <w:sz w:val="20"/>
                <w:szCs w:val="20"/>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584" w:hRule="atLeast"/>
          <w:tblHeader/>
        </w:trPr>
        <w:tc>
          <w:tcPr>
            <w:tcW w:w="2867"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科目编码</w:t>
            </w:r>
          </w:p>
        </w:tc>
        <w:tc>
          <w:tcPr>
            <w:tcW w:w="30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基本支出</w:t>
            </w:r>
          </w:p>
        </w:tc>
        <w:tc>
          <w:tcPr>
            <w:tcW w:w="1624"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款</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w:t>
            </w: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日常公用支出</w:t>
            </w: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499" w:hRule="atLeast"/>
        </w:trPr>
        <w:tc>
          <w:tcPr>
            <w:tcW w:w="592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kern w:val="0"/>
                <w:sz w:val="18"/>
                <w:szCs w:val="18"/>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135.72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85.72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77.32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8.40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50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9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30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一般公共服务支出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114.59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64.59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56.19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8.40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34</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统战事务</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114.59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64.59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56.19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8.40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34</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01</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行政运行</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114.59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64.59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56.19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8.40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社会保障和就业支出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8.66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8.66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8.66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05</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行政事业单位养老支出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8.30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05</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05</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机关事业单位基本养老保险缴费支出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8.30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8.30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both"/>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208</w:t>
            </w:r>
          </w:p>
        </w:tc>
        <w:tc>
          <w:tcPr>
            <w:tcW w:w="95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both"/>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99</w:t>
            </w:r>
          </w:p>
        </w:tc>
        <w:tc>
          <w:tcPr>
            <w:tcW w:w="958"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both"/>
              <w:rPr>
                <w:rFonts w:ascii="仿宋_GB2312" w:hAnsi="宋体" w:eastAsia="仿宋_GB2312" w:cs="Arial"/>
                <w:color w:val="000000"/>
                <w:kern w:val="0"/>
                <w:sz w:val="18"/>
                <w:szCs w:val="18"/>
                <w:lang w:val="en-US" w:eastAsia="zh-CN" w:bidi="ar-SA"/>
              </w:rPr>
            </w:pPr>
          </w:p>
        </w:tc>
        <w:tc>
          <w:tcPr>
            <w:tcW w:w="306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adjustRightInd w:val="0"/>
              <w:snapToGrid w:val="0"/>
              <w:jc w:val="both"/>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其他社会保障和就业支出</w:t>
            </w:r>
          </w:p>
        </w:tc>
        <w:tc>
          <w:tcPr>
            <w:tcW w:w="1670" w:type="dxa"/>
            <w:tcBorders>
              <w:top w:val="single" w:color="000000" w:sz="4" w:space="0"/>
              <w:left w:val="nil"/>
              <w:bottom w:val="single" w:color="auto" w:sz="4" w:space="0"/>
              <w:right w:val="single" w:color="000000" w:sz="4" w:space="0"/>
            </w:tcBorders>
            <w:shd w:val="clear" w:color="auto" w:fill="FFFFFF"/>
            <w:noWrap/>
            <w:tcMar>
              <w:top w:w="15" w:type="dxa"/>
              <w:left w:w="15" w:type="dxa"/>
              <w:right w:w="15" w:type="dxa"/>
            </w:tcMar>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0.36</w:t>
            </w:r>
          </w:p>
        </w:tc>
        <w:tc>
          <w:tcPr>
            <w:tcW w:w="1793" w:type="dxa"/>
            <w:tcBorders>
              <w:top w:val="single" w:color="000000"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0.36</w:t>
            </w:r>
          </w:p>
        </w:tc>
        <w:tc>
          <w:tcPr>
            <w:tcW w:w="1793" w:type="dxa"/>
            <w:tcBorders>
              <w:top w:val="single" w:color="000000"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0.36</w:t>
            </w:r>
          </w:p>
        </w:tc>
        <w:tc>
          <w:tcPr>
            <w:tcW w:w="1793" w:type="dxa"/>
            <w:tcBorders>
              <w:top w:val="single" w:color="000000"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bookmarkEnd w:id="1"/>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both"/>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208</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both"/>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99</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both"/>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99</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both"/>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其他社会保障和就业支出</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0.36</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0.36</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0.36</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卫生健康支出</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5.29</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5.29</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5.29</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11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仿宋_GB2312" w:hAnsi="宋体" w:eastAsia="仿宋_GB2312" w:cs="Arial"/>
                <w:color w:val="000000"/>
                <w:kern w:val="0"/>
                <w:sz w:val="18"/>
                <w:szCs w:val="18"/>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行政事业单位医疗</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5.29</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5.29</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5.29</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11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default"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行政单位医疗</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4.25</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4.25</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4.25</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210</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11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03</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公务员医疗补助</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1.04</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1.04</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1.04</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221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住房保障支出</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7.18</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7.18</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7.18</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221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02</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住房改革支出</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7.18</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7.18</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7.18</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221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02</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val="en-US" w:eastAsia="zh-CN"/>
              </w:rPr>
              <w:t>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hint="eastAsia" w:ascii="仿宋_GB2312" w:hAnsi="宋体" w:eastAsia="仿宋_GB2312" w:cs="Arial"/>
                <w:color w:val="000000"/>
                <w:kern w:val="0"/>
                <w:sz w:val="18"/>
                <w:szCs w:val="18"/>
                <w:lang w:val="en-US" w:eastAsia="zh-CN" w:bidi="ar-SA"/>
              </w:rPr>
            </w:pPr>
            <w:r>
              <w:rPr>
                <w:rFonts w:hint="eastAsia" w:ascii="仿宋_GB2312" w:hAnsi="宋体" w:eastAsia="仿宋_GB2312" w:cs="Arial"/>
                <w:color w:val="000000"/>
                <w:kern w:val="0"/>
                <w:sz w:val="18"/>
                <w:szCs w:val="18"/>
                <w:lang w:eastAsia="zh-CN"/>
              </w:rPr>
              <w:t>住房公积金</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default" w:ascii="仿宋_GB2312" w:hAnsi="宋体" w:eastAsia="仿宋_GB2312" w:cs="宋体"/>
                <w:color w:val="000000"/>
                <w:sz w:val="18"/>
                <w:szCs w:val="18"/>
                <w:lang w:val="en-US" w:eastAsia="zh-CN"/>
              </w:rPr>
            </w:pPr>
            <w:r>
              <w:rPr>
                <w:rFonts w:hint="eastAsia" w:ascii="仿宋_GB2312" w:hAnsi="宋体" w:eastAsia="仿宋_GB2312" w:cs="宋体"/>
                <w:color w:val="000000"/>
                <w:sz w:val="18"/>
                <w:szCs w:val="18"/>
                <w:lang w:val="en-US" w:eastAsia="zh-CN"/>
              </w:rPr>
              <w:t>7.18</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7.18</w:t>
            </w:r>
          </w:p>
        </w:tc>
        <w:tc>
          <w:tcPr>
            <w:tcW w:w="1793"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lang w:val="en-US" w:eastAsia="zh-CN"/>
              </w:rPr>
              <w:t>7.18</w:t>
            </w: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tcPr>
          <w:p>
            <w:pPr>
              <w:jc w:val="center"/>
              <w:rPr>
                <w:rFonts w:ascii="仿宋_GB2312" w:hAnsi="宋体" w:eastAsia="仿宋_GB2312" w:cs="宋体"/>
                <w:color w:val="000000"/>
                <w:sz w:val="18"/>
                <w:szCs w:val="18"/>
              </w:rPr>
            </w:pPr>
          </w:p>
        </w:tc>
      </w:tr>
    </w:tbl>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ind w:right="210"/>
        <w:jc w:val="right"/>
        <w:rPr>
          <w:rFonts w:ascii="宋体" w:hAnsi="宋体"/>
          <w:b/>
          <w:szCs w:val="21"/>
        </w:rPr>
      </w:pPr>
    </w:p>
    <w:p>
      <w:pPr>
        <w:widowControl/>
        <w:jc w:val="left"/>
        <w:rPr>
          <w:rFonts w:ascii="宋体" w:hAnsi="宋体"/>
          <w:b/>
          <w:szCs w:val="21"/>
        </w:rPr>
      </w:pPr>
    </w:p>
    <w:tbl>
      <w:tblPr>
        <w:tblStyle w:val="8"/>
        <w:tblW w:w="14589" w:type="dxa"/>
        <w:tblInd w:w="0" w:type="dxa"/>
        <w:tblLayout w:type="fixed"/>
        <w:tblCellMar>
          <w:top w:w="0" w:type="dxa"/>
          <w:left w:w="0" w:type="dxa"/>
          <w:bottom w:w="0" w:type="dxa"/>
          <w:right w:w="0" w:type="dxa"/>
        </w:tblCellMar>
      </w:tblPr>
      <w:tblGrid>
        <w:gridCol w:w="673"/>
        <w:gridCol w:w="673"/>
        <w:gridCol w:w="2938"/>
        <w:gridCol w:w="686"/>
        <w:gridCol w:w="709"/>
        <w:gridCol w:w="3886"/>
        <w:gridCol w:w="1672"/>
        <w:gridCol w:w="1672"/>
        <w:gridCol w:w="1680"/>
      </w:tblGrid>
      <w:tr>
        <w:tblPrEx>
          <w:tblCellMar>
            <w:top w:w="0" w:type="dxa"/>
            <w:left w:w="0" w:type="dxa"/>
            <w:bottom w:w="0" w:type="dxa"/>
            <w:right w:w="0" w:type="dxa"/>
          </w:tblCellMar>
        </w:tblPrEx>
        <w:trPr>
          <w:trHeight w:val="473"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eastAsia="黑体" w:cs="宋体"/>
                <w:color w:val="000000"/>
                <w:sz w:val="18"/>
                <w:szCs w:val="18"/>
              </w:rPr>
            </w:pPr>
            <w:r>
              <w:rPr>
                <w:rFonts w:hint="eastAsia" w:ascii="黑体" w:hAnsi="黑体" w:eastAsia="黑体"/>
                <w:bCs/>
                <w:szCs w:val="21"/>
              </w:rPr>
              <w:t>公开表</w:t>
            </w:r>
            <w:r>
              <w:rPr>
                <w:rFonts w:ascii="黑体" w:hAnsi="黑体" w:eastAsia="黑体"/>
                <w:bCs/>
                <w:szCs w:val="21"/>
              </w:rPr>
              <w:t>6</w:t>
            </w:r>
          </w:p>
        </w:tc>
      </w:tr>
      <w:tr>
        <w:tblPrEx>
          <w:tblCellMar>
            <w:top w:w="0" w:type="dxa"/>
            <w:left w:w="0" w:type="dxa"/>
            <w:bottom w:w="0" w:type="dxa"/>
            <w:right w:w="0" w:type="dxa"/>
          </w:tblCellMar>
        </w:tblPrEx>
        <w:trPr>
          <w:trHeight w:val="641"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一般公共预算基本支出</w:t>
            </w:r>
            <w:r>
              <w:rPr>
                <w:rFonts w:hint="eastAsia" w:ascii="黑体" w:hAnsi="黑体" w:eastAsia="黑体"/>
                <w:bCs/>
                <w:sz w:val="28"/>
                <w:szCs w:val="28"/>
                <w:lang w:val="en-US" w:eastAsia="zh-CN"/>
              </w:rPr>
              <w:t>情况</w:t>
            </w:r>
            <w:r>
              <w:rPr>
                <w:rFonts w:hint="eastAsia" w:ascii="黑体" w:hAnsi="黑体" w:eastAsia="黑体"/>
                <w:bCs/>
                <w:sz w:val="28"/>
                <w:szCs w:val="28"/>
              </w:rPr>
              <w:t>表</w:t>
            </w:r>
          </w:p>
        </w:tc>
      </w:tr>
      <w:tr>
        <w:tblPrEx>
          <w:tblCellMar>
            <w:top w:w="0" w:type="dxa"/>
            <w:left w:w="0" w:type="dxa"/>
            <w:bottom w:w="0" w:type="dxa"/>
            <w:right w:w="0" w:type="dxa"/>
          </w:tblCellMar>
        </w:tblPrEx>
        <w:trPr>
          <w:trHeight w:val="363"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510" w:hRule="atLeast"/>
        </w:trPr>
        <w:tc>
          <w:tcPr>
            <w:tcW w:w="1346"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科目编码</w:t>
            </w:r>
          </w:p>
        </w:tc>
        <w:tc>
          <w:tcPr>
            <w:tcW w:w="293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部门预算支出</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经济分类科目名称</w:t>
            </w:r>
          </w:p>
        </w:tc>
        <w:tc>
          <w:tcPr>
            <w:tcW w:w="1395" w:type="dxa"/>
            <w:gridSpan w:val="2"/>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科目编码</w:t>
            </w:r>
          </w:p>
        </w:tc>
        <w:tc>
          <w:tcPr>
            <w:tcW w:w="3886" w:type="dxa"/>
            <w:vMerge w:val="restart"/>
            <w:tcBorders>
              <w:top w:val="single" w:color="auto" w:sz="4" w:space="0"/>
              <w:left w:val="nil"/>
              <w:right w:val="single" w:color="000000" w:sz="4" w:space="0"/>
            </w:tcBorders>
            <w:shd w:val="clear" w:color="000000" w:fill="FFFFFF"/>
            <w:vAlign w:val="center"/>
          </w:tcPr>
          <w:p>
            <w:pPr>
              <w:widowControl/>
              <w:jc w:val="center"/>
              <w:textAlignment w:val="center"/>
              <w:rPr>
                <w:rFonts w:hint="eastAsia" w:ascii="黑体" w:hAnsi="黑体" w:eastAsia="黑体" w:cs="黑体"/>
                <w:color w:val="000000"/>
                <w:sz w:val="18"/>
                <w:szCs w:val="18"/>
              </w:rPr>
            </w:pPr>
            <w:r>
              <w:rPr>
                <w:rFonts w:hint="eastAsia" w:ascii="黑体" w:hAnsi="黑体" w:eastAsia="黑体" w:cs="黑体"/>
                <w:color w:val="000000"/>
                <w:sz w:val="18"/>
                <w:szCs w:val="18"/>
              </w:rPr>
              <w:t>政府预算支出</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经济分类科目名称</w:t>
            </w:r>
          </w:p>
        </w:tc>
        <w:tc>
          <w:tcPr>
            <w:tcW w:w="5024" w:type="dxa"/>
            <w:gridSpan w:val="3"/>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基本支出预算</w:t>
            </w:r>
          </w:p>
        </w:tc>
      </w:tr>
      <w:tr>
        <w:tblPrEx>
          <w:tblCellMar>
            <w:top w:w="0" w:type="dxa"/>
            <w:left w:w="0" w:type="dxa"/>
            <w:bottom w:w="0" w:type="dxa"/>
            <w:right w:w="0" w:type="dxa"/>
          </w:tblCellMar>
        </w:tblPrEx>
        <w:trPr>
          <w:trHeight w:val="435" w:hRule="atLeast"/>
        </w:trPr>
        <w:tc>
          <w:tcPr>
            <w:tcW w:w="673"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类</w:t>
            </w:r>
          </w:p>
        </w:tc>
        <w:tc>
          <w:tcPr>
            <w:tcW w:w="673"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款</w:t>
            </w:r>
          </w:p>
        </w:tc>
        <w:tc>
          <w:tcPr>
            <w:tcW w:w="293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类</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款</w:t>
            </w:r>
          </w:p>
        </w:tc>
        <w:tc>
          <w:tcPr>
            <w:tcW w:w="3886" w:type="dxa"/>
            <w:vMerge w:val="continue"/>
            <w:tcBorders>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p>
        </w:tc>
        <w:tc>
          <w:tcPr>
            <w:tcW w:w="1672" w:type="dxa"/>
            <w:tcBorders>
              <w:top w:val="nil"/>
              <w:left w:val="single" w:color="000000"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人员支出</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日常公用支出</w:t>
            </w:r>
          </w:p>
        </w:tc>
      </w:tr>
      <w:tr>
        <w:tblPrEx>
          <w:tblCellMar>
            <w:top w:w="0" w:type="dxa"/>
            <w:left w:w="0" w:type="dxa"/>
            <w:bottom w:w="0" w:type="dxa"/>
            <w:right w:w="0" w:type="dxa"/>
          </w:tblCellMar>
        </w:tblPrEx>
        <w:trPr>
          <w:trHeight w:val="375" w:hRule="atLeast"/>
        </w:trPr>
        <w:tc>
          <w:tcPr>
            <w:tcW w:w="9565"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合    计</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85.72</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77.32</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8.40</w:t>
            </w:r>
          </w:p>
        </w:tc>
      </w:tr>
      <w:tr>
        <w:tblPrEx>
          <w:tblCellMar>
            <w:top w:w="0" w:type="dxa"/>
            <w:left w:w="0" w:type="dxa"/>
            <w:bottom w:w="0" w:type="dxa"/>
            <w:right w:w="0" w:type="dxa"/>
          </w:tblCellMar>
        </w:tblPrEx>
        <w:trPr>
          <w:trHeight w:val="375" w:hRule="atLeast"/>
        </w:trPr>
        <w:tc>
          <w:tcPr>
            <w:tcW w:w="673"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301</w:t>
            </w:r>
          </w:p>
        </w:tc>
        <w:tc>
          <w:tcPr>
            <w:tcW w:w="673"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left"/>
              <w:rPr>
                <w:rFonts w:ascii="仿宋_GB2312" w:hAnsi="仿宋_GB2312" w:eastAsia="仿宋_GB2312" w:cs="仿宋_GB2312"/>
                <w:color w:val="000000"/>
                <w:sz w:val="18"/>
                <w:szCs w:val="18"/>
              </w:rPr>
            </w:pP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工资福利支出</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left"/>
              <w:rPr>
                <w:rFonts w:ascii="仿宋_GB2312" w:hAnsi="仿宋_GB2312" w:eastAsia="仿宋_GB2312" w:cs="仿宋_GB2312"/>
                <w:color w:val="000000"/>
                <w:sz w:val="18"/>
                <w:szCs w:val="18"/>
              </w:rPr>
            </w:pP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机关工资福利支出</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74.30</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74.30</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301</w:t>
            </w:r>
          </w:p>
        </w:tc>
        <w:tc>
          <w:tcPr>
            <w:tcW w:w="673"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 xml:space="preserve">  01</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基本工资</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01</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工资奖金津补贴</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19.49</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19.49</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301</w:t>
            </w:r>
          </w:p>
        </w:tc>
        <w:tc>
          <w:tcPr>
            <w:tcW w:w="673"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 xml:space="preserve">  02</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津贴补贴</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01</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工资奖金津补贴</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14.75</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14.75</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301</w:t>
            </w:r>
          </w:p>
        </w:tc>
        <w:tc>
          <w:tcPr>
            <w:tcW w:w="673"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 xml:space="preserve">  03</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奖金</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01</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工资奖金津补贴</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18.93</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18.93</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301</w:t>
            </w:r>
          </w:p>
        </w:tc>
        <w:tc>
          <w:tcPr>
            <w:tcW w:w="673"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 xml:space="preserve">  08</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机关事业单位基本养老保险缴费</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02</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社会保障缴费</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8.30</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8.30</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301</w:t>
            </w:r>
          </w:p>
        </w:tc>
        <w:tc>
          <w:tcPr>
            <w:tcW w:w="673"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 xml:space="preserve">  10</w:t>
            </w:r>
          </w:p>
        </w:tc>
        <w:tc>
          <w:tcPr>
            <w:tcW w:w="2938"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职工基本医疗保险缴费</w:t>
            </w:r>
          </w:p>
        </w:tc>
        <w:tc>
          <w:tcPr>
            <w:tcW w:w="6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501</w:t>
            </w:r>
          </w:p>
        </w:tc>
        <w:tc>
          <w:tcPr>
            <w:tcW w:w="70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02</w:t>
            </w:r>
          </w:p>
        </w:tc>
        <w:tc>
          <w:tcPr>
            <w:tcW w:w="3886"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社会保障缴费</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4.25</w:t>
            </w:r>
          </w:p>
        </w:tc>
        <w:tc>
          <w:tcPr>
            <w:tcW w:w="1672"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4.25</w:t>
            </w:r>
          </w:p>
        </w:tc>
        <w:tc>
          <w:tcPr>
            <w:tcW w:w="168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301</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公务员医疗补助缴费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1.04</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1.04</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301</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 xml:space="preserve">  12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其他社会保障缴费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0.36</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0.36</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301</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 xml:space="preserve">  13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住房公积金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03</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住房公积金</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7.18</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7.18</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left"/>
              <w:rPr>
                <w:rFonts w:hint="eastAsia" w:ascii="仿宋_GB2312" w:hAnsi="仿宋_GB2312" w:eastAsia="仿宋_GB2312" w:cs="仿宋_GB2312"/>
                <w:color w:val="000000"/>
                <w:kern w:val="0"/>
                <w:sz w:val="18"/>
                <w:szCs w:val="18"/>
                <w:lang w:bidi="ar"/>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color w:val="000000"/>
                <w:kern w:val="0"/>
                <w:sz w:val="18"/>
                <w:szCs w:val="18"/>
                <w:lang w:bidi="ar"/>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机关商品和服务支出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11.40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3.00</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8.40</w:t>
            </w: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 xml:space="preserve">  01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办公费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2.00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2.00</w:t>
            </w: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差旅费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1.90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1.90</w:t>
            </w: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15</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会议费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会议费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1.00</w:t>
            </w: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16</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培训费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03</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培训费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1.00</w:t>
            </w: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17</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公务接待费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06</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公务接待费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0.50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0.50</w:t>
            </w: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 xml:space="preserve">  39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其他交通费用</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3.00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3.00</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99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其他商品和服务支出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99</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其他商品和服务支出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2.00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2.00</w:t>
            </w: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303</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left"/>
              <w:rPr>
                <w:rFonts w:hint="eastAsia" w:ascii="仿宋_GB2312" w:hAnsi="仿宋_GB2312" w:eastAsia="仿宋_GB2312" w:cs="仿宋_GB2312"/>
                <w:color w:val="000000"/>
                <w:kern w:val="0"/>
                <w:sz w:val="18"/>
                <w:szCs w:val="18"/>
                <w:lang w:bidi="ar"/>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对个人和家庭的补助</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bidi="ar"/>
              </w:rPr>
            </w:pPr>
            <w:r>
              <w:rPr>
                <w:rFonts w:hint="eastAsia" w:ascii="宋体" w:hAnsi="宋体" w:eastAsia="宋体" w:cs="宋体"/>
                <w:i w:val="0"/>
                <w:color w:val="000000"/>
                <w:kern w:val="0"/>
                <w:sz w:val="20"/>
                <w:szCs w:val="20"/>
                <w:u w:val="none"/>
                <w:lang w:val="en-US" w:eastAsia="zh-CN" w:bidi="ar"/>
              </w:rPr>
              <w:t>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color w:val="000000"/>
                <w:kern w:val="0"/>
                <w:sz w:val="18"/>
                <w:szCs w:val="18"/>
                <w:lang w:bidi="ar"/>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ascii="仿宋_GB2312" w:hAnsi="仿宋_GB2312" w:eastAsia="仿宋_GB2312" w:cs="仿宋_GB2312"/>
                <w:color w:val="000000"/>
                <w:sz w:val="18"/>
                <w:szCs w:val="18"/>
              </w:rPr>
            </w:pPr>
            <w:r>
              <w:rPr>
                <w:rFonts w:hint="eastAsia" w:ascii="宋体" w:hAnsi="宋体" w:eastAsia="宋体" w:cs="宋体"/>
                <w:i w:val="0"/>
                <w:color w:val="000000"/>
                <w:kern w:val="0"/>
                <w:sz w:val="20"/>
                <w:szCs w:val="20"/>
                <w:u w:val="none"/>
                <w:lang w:val="en-US" w:eastAsia="zh-CN" w:bidi="ar"/>
              </w:rPr>
              <w:t>对个人和家庭的补助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0.01</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0.01</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303</w:t>
            </w:r>
          </w:p>
        </w:tc>
        <w:tc>
          <w:tcPr>
            <w:tcW w:w="673"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09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both"/>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奖励金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both"/>
              <w:textAlignment w:val="center"/>
              <w:rPr>
                <w:rFonts w:hint="eastAsia" w:ascii="仿宋_GB2312" w:hAnsi="仿宋_GB2312" w:eastAsia="仿宋_GB2312" w:cs="仿宋_GB2312"/>
                <w:color w:val="000000"/>
                <w:sz w:val="18"/>
                <w:szCs w:val="18"/>
                <w:lang w:eastAsia="zh-CN"/>
              </w:rPr>
            </w:pPr>
            <w:r>
              <w:rPr>
                <w:rFonts w:hint="eastAsia" w:ascii="宋体" w:hAnsi="宋体" w:eastAsia="宋体" w:cs="宋体"/>
                <w:i w:val="0"/>
                <w:color w:val="000000"/>
                <w:kern w:val="0"/>
                <w:sz w:val="20"/>
                <w:szCs w:val="20"/>
                <w:u w:val="none"/>
                <w:lang w:val="en-US" w:eastAsia="zh-CN" w:bidi="ar"/>
              </w:rPr>
              <w:t>社会福利和救助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0.01</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0.01</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bl>
    <w:p>
      <w:pPr>
        <w:widowControl/>
        <w:jc w:val="left"/>
        <w:rPr>
          <w:rFonts w:ascii="宋体" w:hAnsi="宋体"/>
          <w:b/>
          <w:szCs w:val="21"/>
        </w:rPr>
      </w:pPr>
      <w:r>
        <w:rPr>
          <w:rFonts w:ascii="仿宋_GB2312" w:eastAsia="仿宋_GB2312"/>
          <w:b/>
          <w:sz w:val="30"/>
          <w:szCs w:val="30"/>
        </w:rPr>
        <w:br w:type="page"/>
      </w:r>
    </w:p>
    <w:tbl>
      <w:tblPr>
        <w:tblStyle w:val="8"/>
        <w:tblW w:w="14590" w:type="dxa"/>
        <w:tblInd w:w="0" w:type="dxa"/>
        <w:tblLayout w:type="fixed"/>
        <w:tblCellMar>
          <w:top w:w="0" w:type="dxa"/>
          <w:left w:w="0" w:type="dxa"/>
          <w:bottom w:w="0" w:type="dxa"/>
          <w:right w:w="0" w:type="dxa"/>
        </w:tblCellMar>
      </w:tblPr>
      <w:tblGrid>
        <w:gridCol w:w="1179"/>
        <w:gridCol w:w="1211"/>
        <w:gridCol w:w="1138"/>
        <w:gridCol w:w="1234"/>
        <w:gridCol w:w="1167"/>
        <w:gridCol w:w="1339"/>
        <w:gridCol w:w="1138"/>
        <w:gridCol w:w="1278"/>
        <w:gridCol w:w="1147"/>
        <w:gridCol w:w="1129"/>
        <w:gridCol w:w="1202"/>
        <w:gridCol w:w="1428"/>
      </w:tblGrid>
      <w:tr>
        <w:tblPrEx>
          <w:tblCellMar>
            <w:top w:w="0" w:type="dxa"/>
            <w:left w:w="0" w:type="dxa"/>
            <w:bottom w:w="0" w:type="dxa"/>
            <w:right w:w="0" w:type="dxa"/>
          </w:tblCellMar>
        </w:tblPrEx>
        <w:trPr>
          <w:trHeight w:val="405" w:hRule="atLeast"/>
        </w:trPr>
        <w:tc>
          <w:tcPr>
            <w:tcW w:w="14590" w:type="dxa"/>
            <w:gridSpan w:val="12"/>
            <w:tcBorders>
              <w:top w:val="nil"/>
              <w:left w:val="nil"/>
              <w:bottom w:val="nil"/>
              <w:right w:val="nil"/>
            </w:tcBorders>
            <w:shd w:val="clear" w:color="000000" w:fill="FFFFFF"/>
            <w:noWrap/>
            <w:tcMar>
              <w:top w:w="10" w:type="dxa"/>
              <w:left w:w="10" w:type="dxa"/>
              <w:right w:w="10" w:type="dxa"/>
            </w:tcMar>
            <w:vAlign w:val="center"/>
          </w:tcPr>
          <w:p>
            <w:pPr>
              <w:jc w:val="right"/>
              <w:rPr>
                <w:rFonts w:ascii="黑体" w:hAnsi="黑体" w:eastAsia="黑体"/>
                <w:bCs/>
                <w:szCs w:val="21"/>
              </w:rPr>
            </w:pPr>
            <w:r>
              <w:rPr>
                <w:rFonts w:hint="eastAsia" w:ascii="黑体" w:hAnsi="黑体" w:eastAsia="黑体"/>
                <w:bCs/>
                <w:szCs w:val="21"/>
              </w:rPr>
              <w:t>公开表</w:t>
            </w:r>
            <w:r>
              <w:rPr>
                <w:rFonts w:ascii="黑体" w:hAnsi="黑体" w:eastAsia="黑体"/>
                <w:bCs/>
                <w:szCs w:val="21"/>
              </w:rPr>
              <w:t>7</w:t>
            </w:r>
          </w:p>
        </w:tc>
      </w:tr>
      <w:tr>
        <w:tblPrEx>
          <w:tblCellMar>
            <w:top w:w="0" w:type="dxa"/>
            <w:left w:w="0" w:type="dxa"/>
            <w:bottom w:w="0" w:type="dxa"/>
            <w:right w:w="0" w:type="dxa"/>
          </w:tblCellMar>
        </w:tblPrEx>
        <w:trPr>
          <w:trHeight w:val="585" w:hRule="atLeast"/>
        </w:trPr>
        <w:tc>
          <w:tcPr>
            <w:tcW w:w="14590" w:type="dxa"/>
            <w:gridSpan w:val="12"/>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黑体" w:hAnsi="黑体" w:eastAsia="黑体"/>
                <w:bCs/>
                <w:sz w:val="28"/>
                <w:szCs w:val="28"/>
              </w:rPr>
            </w:pPr>
            <w:r>
              <w:rPr>
                <w:rFonts w:hint="eastAsia" w:ascii="黑体" w:hAnsi="黑体" w:eastAsia="黑体"/>
                <w:bCs/>
                <w:sz w:val="28"/>
                <w:szCs w:val="28"/>
              </w:rPr>
              <w:t>一般公共预算“三公”经费支出</w:t>
            </w:r>
            <w:r>
              <w:rPr>
                <w:rFonts w:hint="eastAsia" w:ascii="黑体" w:hAnsi="黑体" w:eastAsia="黑体"/>
                <w:bCs/>
                <w:sz w:val="28"/>
                <w:szCs w:val="28"/>
                <w:lang w:val="en-US" w:eastAsia="zh-CN"/>
              </w:rPr>
              <w:t>情况</w:t>
            </w:r>
            <w:r>
              <w:rPr>
                <w:rFonts w:hint="eastAsia" w:ascii="黑体" w:hAnsi="黑体" w:eastAsia="黑体"/>
                <w:bCs/>
                <w:sz w:val="28"/>
                <w:szCs w:val="28"/>
              </w:rPr>
              <w:t>表</w:t>
            </w:r>
          </w:p>
        </w:tc>
      </w:tr>
      <w:tr>
        <w:tblPrEx>
          <w:tblCellMar>
            <w:top w:w="0" w:type="dxa"/>
            <w:left w:w="0" w:type="dxa"/>
            <w:bottom w:w="0" w:type="dxa"/>
            <w:right w:w="0" w:type="dxa"/>
          </w:tblCellMar>
        </w:tblPrEx>
        <w:trPr>
          <w:trHeight w:val="480" w:hRule="atLeast"/>
        </w:trPr>
        <w:tc>
          <w:tcPr>
            <w:tcW w:w="14590" w:type="dxa"/>
            <w:gridSpan w:val="12"/>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单位：万元</w:t>
            </w:r>
          </w:p>
        </w:tc>
      </w:tr>
      <w:tr>
        <w:tblPrEx>
          <w:tblCellMar>
            <w:top w:w="0" w:type="dxa"/>
            <w:left w:w="0" w:type="dxa"/>
            <w:bottom w:w="0" w:type="dxa"/>
            <w:right w:w="0" w:type="dxa"/>
          </w:tblCellMar>
        </w:tblPrEx>
        <w:trPr>
          <w:trHeight w:val="480" w:hRule="atLeast"/>
        </w:trPr>
        <w:tc>
          <w:tcPr>
            <w:tcW w:w="7268"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eastAsia="zh-CN" w:bidi="ar"/>
              </w:rPr>
              <w:t>2022</w:t>
            </w:r>
            <w:r>
              <w:rPr>
                <w:rFonts w:hint="eastAsia" w:ascii="黑体" w:hAnsi="黑体" w:eastAsia="黑体" w:cs="黑体"/>
                <w:color w:val="000000"/>
                <w:kern w:val="0"/>
                <w:sz w:val="18"/>
                <w:szCs w:val="18"/>
                <w:lang w:bidi="ar"/>
              </w:rPr>
              <w:t>年预算数</w:t>
            </w:r>
          </w:p>
        </w:tc>
        <w:tc>
          <w:tcPr>
            <w:tcW w:w="7322"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eastAsia="zh-CN" w:bidi="ar"/>
              </w:rPr>
              <w:t>2023</w:t>
            </w:r>
            <w:r>
              <w:rPr>
                <w:rFonts w:hint="eastAsia" w:ascii="黑体" w:hAnsi="黑体" w:eastAsia="黑体" w:cs="黑体"/>
                <w:color w:val="000000"/>
                <w:kern w:val="0"/>
                <w:sz w:val="18"/>
                <w:szCs w:val="18"/>
                <w:lang w:bidi="ar"/>
              </w:rPr>
              <w:t>年预算数</w:t>
            </w:r>
          </w:p>
        </w:tc>
      </w:tr>
      <w:tr>
        <w:tblPrEx>
          <w:tblCellMar>
            <w:top w:w="0" w:type="dxa"/>
            <w:left w:w="0" w:type="dxa"/>
            <w:bottom w:w="0" w:type="dxa"/>
            <w:right w:w="0" w:type="dxa"/>
          </w:tblCellMar>
        </w:tblPrEx>
        <w:trPr>
          <w:trHeight w:val="590" w:hRule="atLeast"/>
        </w:trPr>
        <w:tc>
          <w:tcPr>
            <w:tcW w:w="1179"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12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因公出国</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（境）经费</w:t>
            </w:r>
          </w:p>
        </w:tc>
        <w:tc>
          <w:tcPr>
            <w:tcW w:w="353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公务用车购置及运行维护费</w:t>
            </w:r>
          </w:p>
        </w:tc>
        <w:tc>
          <w:tcPr>
            <w:tcW w:w="1339"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公务接待费</w:t>
            </w:r>
          </w:p>
        </w:tc>
        <w:tc>
          <w:tcPr>
            <w:tcW w:w="113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1278"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因公出国</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（境）经费</w:t>
            </w:r>
          </w:p>
        </w:tc>
        <w:tc>
          <w:tcPr>
            <w:tcW w:w="347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公务用车购置及运行维护费</w:t>
            </w:r>
          </w:p>
        </w:tc>
        <w:tc>
          <w:tcPr>
            <w:tcW w:w="142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公务接待费</w:t>
            </w:r>
          </w:p>
        </w:tc>
      </w:tr>
      <w:tr>
        <w:tblPrEx>
          <w:tblCellMar>
            <w:top w:w="0" w:type="dxa"/>
            <w:left w:w="0" w:type="dxa"/>
            <w:bottom w:w="0" w:type="dxa"/>
            <w:right w:w="0" w:type="dxa"/>
          </w:tblCellMar>
        </w:tblPrEx>
        <w:trPr>
          <w:trHeight w:val="700" w:hRule="atLeast"/>
        </w:trPr>
        <w:tc>
          <w:tcPr>
            <w:tcW w:w="1179"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12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38"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234"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公务用车</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购置经费</w:t>
            </w:r>
          </w:p>
        </w:tc>
        <w:tc>
          <w:tcPr>
            <w:tcW w:w="116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公务用车</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运行维护费</w:t>
            </w:r>
          </w:p>
        </w:tc>
        <w:tc>
          <w:tcPr>
            <w:tcW w:w="1339"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113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1278"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4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129"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公务用车</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购置经费</w:t>
            </w:r>
          </w:p>
        </w:tc>
        <w:tc>
          <w:tcPr>
            <w:tcW w:w="1202"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公务用车</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运行维护费</w:t>
            </w:r>
          </w:p>
        </w:tc>
        <w:tc>
          <w:tcPr>
            <w:tcW w:w="142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0.50</w:t>
            </w:r>
            <w:r>
              <w:rPr>
                <w:rFonts w:hint="eastAsia" w:ascii="仿宋_GB2312" w:hAnsi="仿宋_GB2312" w:eastAsia="仿宋_GB2312" w:cs="仿宋_GB2312"/>
                <w:color w:val="000000"/>
                <w:kern w:val="0"/>
                <w:sz w:val="18"/>
                <w:szCs w:val="18"/>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0.50</w:t>
            </w: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0.50</w:t>
            </w:r>
            <w:r>
              <w:rPr>
                <w:rFonts w:hint="eastAsia" w:ascii="仿宋_GB2312" w:hAnsi="仿宋_GB2312" w:eastAsia="仿宋_GB2312" w:cs="仿宋_GB2312"/>
                <w:color w:val="000000"/>
                <w:kern w:val="0"/>
                <w:sz w:val="18"/>
                <w:szCs w:val="18"/>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0.50</w:t>
            </w: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bl>
    <w:p>
      <w:pPr>
        <w:widowControl/>
        <w:jc w:val="left"/>
        <w:rPr>
          <w:rFonts w:ascii="宋体" w:hAnsi="宋体"/>
          <w:b/>
          <w:szCs w:val="21"/>
        </w:rPr>
      </w:pPr>
      <w:r>
        <w:rPr>
          <w:rFonts w:hint="eastAsia" w:ascii="黑体" w:hAnsi="黑体" w:eastAsia="黑体"/>
          <w:bCs/>
          <w:szCs w:val="21"/>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5"/>
        <w:gridCol w:w="3066"/>
        <w:gridCol w:w="1670"/>
        <w:gridCol w:w="1793"/>
        <w:gridCol w:w="1793"/>
        <w:gridCol w:w="1793"/>
        <w:gridCol w:w="1621"/>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rPr>
            </w:pPr>
            <w:r>
              <w:rPr>
                <w:rFonts w:hint="eastAsia" w:ascii="黑体" w:hAnsi="黑体" w:eastAsia="黑体"/>
                <w:bCs/>
                <w:szCs w:val="21"/>
              </w:rPr>
              <w:t>公开表</w:t>
            </w:r>
            <w:r>
              <w:rPr>
                <w:rFonts w:ascii="黑体" w:hAnsi="黑体" w:eastAsia="黑体"/>
                <w:bCs/>
                <w:szCs w:val="21"/>
              </w:rPr>
              <w:t>8</w:t>
            </w:r>
          </w:p>
          <w:p>
            <w:pPr>
              <w:jc w:val="center"/>
              <w:rPr>
                <w:rFonts w:ascii="黑体" w:hAnsi="黑体" w:eastAsia="黑体"/>
                <w:bCs/>
                <w:sz w:val="28"/>
                <w:szCs w:val="28"/>
              </w:rPr>
            </w:pPr>
            <w:r>
              <w:rPr>
                <w:rFonts w:hint="eastAsia" w:ascii="黑体" w:hAnsi="黑体" w:eastAsia="黑体"/>
                <w:bCs/>
                <w:sz w:val="28"/>
                <w:szCs w:val="28"/>
              </w:rPr>
              <w:t>政府性基金预算支出</w:t>
            </w:r>
            <w:r>
              <w:rPr>
                <w:rFonts w:hint="eastAsia" w:ascii="黑体" w:hAnsi="黑体" w:eastAsia="黑体"/>
                <w:bCs/>
                <w:sz w:val="28"/>
                <w:szCs w:val="28"/>
                <w:lang w:val="en-US" w:eastAsia="zh-CN"/>
              </w:rPr>
              <w:t>情况</w:t>
            </w:r>
            <w:r>
              <w:rPr>
                <w:rFonts w:hint="eastAsia" w:ascii="黑体" w:hAnsi="黑体" w:eastAsia="黑体"/>
                <w:bCs/>
                <w:sz w:val="28"/>
                <w:szCs w:val="28"/>
              </w:rPr>
              <w:t>表</w:t>
            </w:r>
          </w:p>
          <w:p>
            <w:pPr>
              <w:widowControl/>
              <w:jc w:val="right"/>
              <w:textAlignment w:val="center"/>
              <w:rPr>
                <w:rFonts w:ascii="宋体" w:hAnsi="宋体" w:cs="宋体"/>
                <w:color w:val="000000"/>
                <w:sz w:val="20"/>
                <w:szCs w:val="20"/>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584" w:hRule="atLeast"/>
          <w:tblHeader/>
        </w:trPr>
        <w:tc>
          <w:tcPr>
            <w:tcW w:w="2864"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科目编码</w:t>
            </w:r>
          </w:p>
        </w:tc>
        <w:tc>
          <w:tcPr>
            <w:tcW w:w="306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基本支出</w:t>
            </w:r>
          </w:p>
        </w:tc>
        <w:tc>
          <w:tcPr>
            <w:tcW w:w="1621"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款</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w:t>
            </w:r>
          </w:p>
        </w:tc>
        <w:tc>
          <w:tcPr>
            <w:tcW w:w="306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日常公用支出</w:t>
            </w:r>
          </w:p>
        </w:tc>
        <w:tc>
          <w:tcPr>
            <w:tcW w:w="1621"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306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21"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499" w:hRule="atLeast"/>
        </w:trPr>
        <w:tc>
          <w:tcPr>
            <w:tcW w:w="593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kern w:val="0"/>
                <w:sz w:val="18"/>
                <w:szCs w:val="18"/>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306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bl>
    <w:p>
      <w:pPr>
        <w:widowControl/>
        <w:jc w:val="both"/>
        <w:textAlignment w:val="center"/>
        <w:rPr>
          <w:rFonts w:hint="eastAsia" w:ascii="黑体" w:hAnsi="黑体" w:eastAsia="黑体" w:cs="宋体"/>
          <w:color w:val="000000"/>
          <w:kern w:val="0"/>
          <w:sz w:val="18"/>
          <w:szCs w:val="18"/>
          <w:lang w:bidi="ar"/>
        </w:rPr>
      </w:pPr>
      <w:r>
        <w:rPr>
          <w:rFonts w:hint="eastAsia" w:ascii="黑体" w:hAnsi="黑体" w:eastAsia="黑体" w:cs="宋体"/>
          <w:color w:val="000000"/>
          <w:kern w:val="0"/>
          <w:sz w:val="18"/>
          <w:szCs w:val="18"/>
          <w:lang w:bidi="ar"/>
        </w:rPr>
        <w:t>（注：</w:t>
      </w:r>
      <w:r>
        <w:rPr>
          <w:rFonts w:hint="eastAsia" w:ascii="黑体" w:hAnsi="黑体" w:eastAsia="黑体" w:cs="宋体"/>
          <w:color w:val="000000"/>
          <w:kern w:val="0"/>
          <w:sz w:val="18"/>
          <w:szCs w:val="18"/>
          <w:lang w:eastAsia="zh-CN" w:bidi="ar"/>
        </w:rPr>
        <w:t>威海市欧美同学会秘书处2023</w:t>
      </w:r>
      <w:r>
        <w:rPr>
          <w:rFonts w:hint="eastAsia" w:ascii="黑体" w:hAnsi="黑体" w:eastAsia="黑体" w:cs="宋体"/>
          <w:color w:val="000000"/>
          <w:kern w:val="0"/>
          <w:sz w:val="18"/>
          <w:szCs w:val="18"/>
          <w:lang w:bidi="ar"/>
        </w:rPr>
        <w:t>年没有使用政府性基金预算拨款安排的支出。）</w:t>
      </w:r>
    </w:p>
    <w:p>
      <w:pPr>
        <w:widowControl/>
        <w:jc w:val="left"/>
        <w:rPr>
          <w:rFonts w:ascii="楷体_GB2312" w:eastAsia="楷体_GB2312"/>
          <w:sz w:val="32"/>
          <w:szCs w:val="32"/>
        </w:rPr>
      </w:pPr>
      <w:r>
        <w:rPr>
          <w:rFonts w:ascii="楷体_GB2312" w:eastAsia="楷体_GB2312"/>
          <w:sz w:val="32"/>
          <w:szCs w:val="32"/>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8"/>
        <w:gridCol w:w="3060"/>
        <w:gridCol w:w="1670"/>
        <w:gridCol w:w="1793"/>
        <w:gridCol w:w="1793"/>
        <w:gridCol w:w="1793"/>
        <w:gridCol w:w="1624"/>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黑体" w:hAnsi="黑体" w:eastAsia="黑体"/>
                <w:bCs/>
                <w:szCs w:val="21"/>
                <w:lang w:eastAsia="zh-CN"/>
              </w:rPr>
            </w:pPr>
            <w:r>
              <w:rPr>
                <w:rFonts w:hint="eastAsia" w:ascii="黑体" w:hAnsi="黑体" w:eastAsia="黑体"/>
                <w:bCs/>
                <w:szCs w:val="21"/>
              </w:rPr>
              <w:t>公开表</w:t>
            </w:r>
            <w:r>
              <w:rPr>
                <w:rFonts w:hint="eastAsia" w:ascii="黑体" w:hAnsi="黑体" w:eastAsia="黑体"/>
                <w:bCs/>
                <w:szCs w:val="21"/>
                <w:lang w:val="en-US" w:eastAsia="zh-CN"/>
              </w:rPr>
              <w:t>9</w:t>
            </w:r>
          </w:p>
          <w:p>
            <w:pPr>
              <w:jc w:val="center"/>
              <w:rPr>
                <w:rFonts w:ascii="黑体" w:hAnsi="黑体" w:eastAsia="黑体"/>
                <w:bCs/>
                <w:sz w:val="28"/>
                <w:szCs w:val="28"/>
              </w:rPr>
            </w:pPr>
            <w:r>
              <w:rPr>
                <w:rFonts w:hint="eastAsia" w:ascii="黑体" w:hAnsi="黑体" w:eastAsia="黑体"/>
                <w:bCs/>
                <w:sz w:val="28"/>
                <w:szCs w:val="28"/>
              </w:rPr>
              <w:t>国有资本经营预算支出情况表</w:t>
            </w:r>
          </w:p>
          <w:p>
            <w:pPr>
              <w:widowControl/>
              <w:jc w:val="right"/>
              <w:textAlignment w:val="center"/>
              <w:rPr>
                <w:rFonts w:ascii="宋体" w:hAnsi="宋体" w:cs="宋体"/>
                <w:color w:val="000000"/>
                <w:sz w:val="20"/>
                <w:szCs w:val="20"/>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584" w:hRule="atLeast"/>
          <w:tblHeader/>
        </w:trPr>
        <w:tc>
          <w:tcPr>
            <w:tcW w:w="2867"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科目编码</w:t>
            </w:r>
          </w:p>
        </w:tc>
        <w:tc>
          <w:tcPr>
            <w:tcW w:w="30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基本支出</w:t>
            </w:r>
          </w:p>
        </w:tc>
        <w:tc>
          <w:tcPr>
            <w:tcW w:w="1624"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款</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w:t>
            </w: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日常公用支出</w:t>
            </w: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499" w:hRule="atLeast"/>
        </w:trPr>
        <w:tc>
          <w:tcPr>
            <w:tcW w:w="592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kern w:val="0"/>
                <w:sz w:val="18"/>
                <w:szCs w:val="18"/>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30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bl>
    <w:p>
      <w:pPr>
        <w:jc w:val="left"/>
        <w:rPr>
          <w:rFonts w:hint="eastAsia" w:ascii="黑体" w:hAnsi="黑体" w:eastAsia="黑体" w:cs="宋体"/>
          <w:color w:val="000000"/>
          <w:kern w:val="0"/>
          <w:sz w:val="18"/>
          <w:szCs w:val="18"/>
          <w:lang w:bidi="ar"/>
        </w:rPr>
      </w:pPr>
      <w:r>
        <w:rPr>
          <w:rFonts w:hint="eastAsia" w:ascii="黑体" w:hAnsi="黑体" w:eastAsia="黑体" w:cs="宋体"/>
          <w:color w:val="000000"/>
          <w:kern w:val="0"/>
          <w:sz w:val="18"/>
          <w:szCs w:val="18"/>
          <w:lang w:bidi="ar"/>
        </w:rPr>
        <w:t>（注：</w:t>
      </w:r>
      <w:r>
        <w:rPr>
          <w:rFonts w:hint="eastAsia" w:ascii="黑体" w:hAnsi="黑体" w:eastAsia="黑体" w:cs="宋体"/>
          <w:color w:val="000000"/>
          <w:kern w:val="0"/>
          <w:sz w:val="18"/>
          <w:szCs w:val="18"/>
          <w:lang w:eastAsia="zh-CN" w:bidi="ar"/>
        </w:rPr>
        <w:t>威海市欧美同学会秘书处2023</w:t>
      </w:r>
      <w:r>
        <w:rPr>
          <w:rFonts w:hint="eastAsia" w:ascii="黑体" w:hAnsi="黑体" w:eastAsia="黑体" w:cs="宋体"/>
          <w:color w:val="000000"/>
          <w:kern w:val="0"/>
          <w:sz w:val="18"/>
          <w:szCs w:val="18"/>
          <w:lang w:bidi="ar"/>
        </w:rPr>
        <w:t>年没有使用国有资本经营预算拨款安排的支出。）</w:t>
      </w:r>
    </w:p>
    <w:p>
      <w:pPr>
        <w:widowControl/>
        <w:jc w:val="left"/>
        <w:rPr>
          <w:rFonts w:ascii="楷体_GB2312" w:eastAsia="楷体_GB2312"/>
          <w:sz w:val="32"/>
          <w:szCs w:val="32"/>
        </w:rPr>
      </w:pPr>
      <w:r>
        <w:rPr>
          <w:rFonts w:ascii="楷体_GB2312" w:eastAsia="楷体_GB2312"/>
          <w:sz w:val="32"/>
          <w:szCs w:val="32"/>
        </w:rPr>
        <w:br w:type="page"/>
      </w:r>
    </w:p>
    <w:tbl>
      <w:tblPr>
        <w:tblStyle w:val="8"/>
        <w:tblW w:w="14594" w:type="dxa"/>
        <w:tblInd w:w="0" w:type="dxa"/>
        <w:tblLayout w:type="fixed"/>
        <w:tblCellMar>
          <w:top w:w="0" w:type="dxa"/>
          <w:left w:w="0" w:type="dxa"/>
          <w:bottom w:w="0" w:type="dxa"/>
          <w:right w:w="0" w:type="dxa"/>
        </w:tblCellMar>
      </w:tblPr>
      <w:tblGrid>
        <w:gridCol w:w="1014"/>
        <w:gridCol w:w="1014"/>
        <w:gridCol w:w="1014"/>
        <w:gridCol w:w="1014"/>
        <w:gridCol w:w="1014"/>
        <w:gridCol w:w="1014"/>
        <w:gridCol w:w="945"/>
        <w:gridCol w:w="945"/>
        <w:gridCol w:w="945"/>
        <w:gridCol w:w="945"/>
        <w:gridCol w:w="946"/>
        <w:gridCol w:w="946"/>
        <w:gridCol w:w="946"/>
        <w:gridCol w:w="946"/>
        <w:gridCol w:w="946"/>
      </w:tblGrid>
      <w:tr>
        <w:tblPrEx>
          <w:tblCellMar>
            <w:top w:w="0" w:type="dxa"/>
            <w:left w:w="0" w:type="dxa"/>
            <w:bottom w:w="0" w:type="dxa"/>
            <w:right w:w="0" w:type="dxa"/>
          </w:tblCellMar>
        </w:tblPrEx>
        <w:trPr>
          <w:trHeight w:val="340" w:hRule="atLeast"/>
        </w:trPr>
        <w:tc>
          <w:tcPr>
            <w:tcW w:w="3042" w:type="dxa"/>
            <w:gridSpan w:val="3"/>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rPr>
            </w:pPr>
          </w:p>
        </w:tc>
        <w:tc>
          <w:tcPr>
            <w:tcW w:w="1014" w:type="dxa"/>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rPr>
            </w:pPr>
          </w:p>
        </w:tc>
        <w:tc>
          <w:tcPr>
            <w:tcW w:w="1014" w:type="dxa"/>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rPr>
            </w:pPr>
          </w:p>
        </w:tc>
        <w:tc>
          <w:tcPr>
            <w:tcW w:w="9524" w:type="dxa"/>
            <w:gridSpan w:val="10"/>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default" w:ascii="黑体" w:hAnsi="黑体" w:eastAsia="黑体"/>
                <w:bCs/>
                <w:szCs w:val="21"/>
                <w:lang w:val="en-US" w:eastAsia="zh-CN"/>
              </w:rPr>
            </w:pPr>
            <w:r>
              <w:rPr>
                <w:rFonts w:hint="eastAsia" w:ascii="黑体" w:hAnsi="黑体" w:eastAsia="黑体"/>
                <w:bCs/>
                <w:szCs w:val="21"/>
              </w:rPr>
              <w:t>公开表</w:t>
            </w:r>
            <w:r>
              <w:rPr>
                <w:rFonts w:hint="eastAsia" w:ascii="黑体" w:hAnsi="黑体" w:eastAsia="黑体"/>
                <w:bCs/>
                <w:szCs w:val="21"/>
                <w:lang w:val="en-US" w:eastAsia="zh-CN"/>
              </w:rPr>
              <w:t>10</w:t>
            </w:r>
          </w:p>
        </w:tc>
      </w:tr>
      <w:tr>
        <w:tblPrEx>
          <w:tblCellMar>
            <w:top w:w="0" w:type="dxa"/>
            <w:left w:w="0" w:type="dxa"/>
            <w:bottom w:w="0" w:type="dxa"/>
            <w:right w:w="0" w:type="dxa"/>
          </w:tblCellMar>
        </w:tblPrEx>
        <w:trPr>
          <w:trHeight w:val="645" w:hRule="atLeast"/>
        </w:trPr>
        <w:tc>
          <w:tcPr>
            <w:tcW w:w="14594" w:type="dxa"/>
            <w:gridSpan w:val="15"/>
            <w:tcBorders>
              <w:top w:val="nil"/>
              <w:left w:val="nil"/>
              <w:bottom w:val="nil"/>
              <w:right w:val="nil"/>
            </w:tcBorders>
            <w:shd w:val="clear" w:color="auto" w:fill="FFFFFF"/>
            <w:noWrap/>
            <w:tcMar>
              <w:top w:w="15" w:type="dxa"/>
              <w:left w:w="15" w:type="dxa"/>
              <w:bottom w:w="0" w:type="dxa"/>
              <w:right w:w="15" w:type="dxa"/>
            </w:tcMar>
            <w:vAlign w:val="center"/>
          </w:tcPr>
          <w:p>
            <w:pPr>
              <w:widowControl/>
              <w:jc w:val="center"/>
              <w:textAlignment w:val="center"/>
              <w:rPr>
                <w:rFonts w:cs="Arial"/>
                <w:b/>
                <w:bCs/>
                <w:color w:val="000000"/>
                <w:sz w:val="36"/>
                <w:szCs w:val="36"/>
              </w:rPr>
            </w:pPr>
            <w:r>
              <w:rPr>
                <w:rFonts w:hint="eastAsia" w:ascii="黑体" w:hAnsi="黑体" w:eastAsia="黑体"/>
                <w:bCs/>
                <w:sz w:val="28"/>
                <w:szCs w:val="28"/>
              </w:rPr>
              <w:t>基本支出预算情况表</w:t>
            </w:r>
          </w:p>
        </w:tc>
      </w:tr>
      <w:tr>
        <w:tblPrEx>
          <w:tblCellMar>
            <w:top w:w="0" w:type="dxa"/>
            <w:left w:w="0" w:type="dxa"/>
            <w:bottom w:w="0" w:type="dxa"/>
            <w:right w:w="0" w:type="dxa"/>
          </w:tblCellMar>
        </w:tblPrEx>
        <w:trPr>
          <w:trHeight w:val="420" w:hRule="atLeast"/>
        </w:trPr>
        <w:tc>
          <w:tcPr>
            <w:tcW w:w="3042" w:type="dxa"/>
            <w:gridSpan w:val="3"/>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rPr>
            </w:pPr>
          </w:p>
        </w:tc>
        <w:tc>
          <w:tcPr>
            <w:tcW w:w="1014" w:type="dxa"/>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rPr>
            </w:pPr>
          </w:p>
        </w:tc>
        <w:tc>
          <w:tcPr>
            <w:tcW w:w="1014" w:type="dxa"/>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rPr>
            </w:pPr>
          </w:p>
        </w:tc>
        <w:tc>
          <w:tcPr>
            <w:tcW w:w="9524" w:type="dxa"/>
            <w:gridSpan w:val="10"/>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420" w:hRule="atLeast"/>
        </w:trPr>
        <w:tc>
          <w:tcPr>
            <w:tcW w:w="2028" w:type="dxa"/>
            <w:gridSpan w:val="2"/>
            <w:vMerge w:val="restart"/>
            <w:tcBorders>
              <w:top w:val="single" w:color="000000" w:sz="4" w:space="0"/>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科目编码</w:t>
            </w:r>
          </w:p>
        </w:tc>
        <w:tc>
          <w:tcPr>
            <w:tcW w:w="1014" w:type="dxa"/>
            <w:vMerge w:val="restart"/>
            <w:tcBorders>
              <w:top w:val="single" w:color="000000" w:sz="4" w:space="0"/>
              <w:left w:val="single" w:color="000000" w:sz="4" w:space="0"/>
              <w:right w:val="single" w:color="000000" w:sz="4" w:space="0"/>
            </w:tcBorders>
            <w:shd w:val="clear" w:color="auto" w:fill="FFFFFF"/>
            <w:vAlign w:val="center"/>
          </w:tcPr>
          <w:p>
            <w:pPr>
              <w:jc w:val="center"/>
              <w:rPr>
                <w:rFonts w:hint="eastAsia" w:ascii="黑体" w:hAnsi="黑体" w:eastAsia="黑体" w:cs="Arial"/>
                <w:color w:val="000000"/>
                <w:sz w:val="18"/>
                <w:szCs w:val="18"/>
              </w:rPr>
            </w:pPr>
            <w:r>
              <w:rPr>
                <w:rFonts w:hint="eastAsia" w:ascii="黑体" w:hAnsi="黑体" w:eastAsia="黑体" w:cs="Arial"/>
                <w:color w:val="000000"/>
                <w:sz w:val="18"/>
                <w:szCs w:val="18"/>
              </w:rPr>
              <w:t>部门预算</w:t>
            </w:r>
          </w:p>
          <w:p>
            <w:pPr>
              <w:jc w:val="center"/>
              <w:rPr>
                <w:rFonts w:hint="eastAsia" w:ascii="黑体" w:hAnsi="黑体" w:eastAsia="黑体" w:cs="Arial"/>
                <w:color w:val="000000"/>
                <w:sz w:val="18"/>
                <w:szCs w:val="18"/>
              </w:rPr>
            </w:pPr>
            <w:r>
              <w:rPr>
                <w:rFonts w:hint="eastAsia" w:ascii="黑体" w:hAnsi="黑体" w:eastAsia="黑体" w:cs="Arial"/>
                <w:color w:val="000000"/>
                <w:sz w:val="18"/>
                <w:szCs w:val="18"/>
              </w:rPr>
              <w:t>支出经济</w:t>
            </w:r>
          </w:p>
          <w:p>
            <w:pPr>
              <w:jc w:val="center"/>
              <w:rPr>
                <w:rFonts w:ascii="黑体" w:hAnsi="黑体" w:eastAsia="黑体" w:cs="Arial"/>
                <w:color w:val="000000"/>
                <w:sz w:val="18"/>
                <w:szCs w:val="18"/>
              </w:rPr>
            </w:pPr>
            <w:r>
              <w:rPr>
                <w:rFonts w:hint="eastAsia" w:ascii="黑体" w:hAnsi="黑体" w:eastAsia="黑体" w:cs="Arial"/>
                <w:color w:val="000000"/>
                <w:sz w:val="18"/>
                <w:szCs w:val="18"/>
              </w:rPr>
              <w:t>分类科目</w:t>
            </w:r>
          </w:p>
        </w:tc>
        <w:tc>
          <w:tcPr>
            <w:tcW w:w="2028" w:type="dxa"/>
            <w:gridSpan w:val="2"/>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lang w:val="en-US" w:eastAsia="zh-CN"/>
              </w:rPr>
            </w:pPr>
            <w:r>
              <w:rPr>
                <w:rFonts w:hint="eastAsia" w:ascii="黑体" w:hAnsi="黑体" w:eastAsia="黑体" w:cs="Arial"/>
                <w:color w:val="000000"/>
                <w:sz w:val="18"/>
                <w:szCs w:val="18"/>
              </w:rPr>
              <w:t>科目编码</w:t>
            </w:r>
          </w:p>
          <w:p>
            <w:pPr>
              <w:jc w:val="center"/>
              <w:rPr>
                <w:rFonts w:hint="eastAsia" w:ascii="黑体" w:hAnsi="黑体" w:eastAsia="黑体" w:cs="Arial"/>
                <w:color w:val="000000"/>
                <w:sz w:val="18"/>
                <w:szCs w:val="18"/>
                <w:highlight w:val="cyan"/>
              </w:rPr>
            </w:pPr>
          </w:p>
        </w:tc>
        <w:tc>
          <w:tcPr>
            <w:tcW w:w="1014" w:type="dxa"/>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rPr>
            </w:pPr>
            <w:r>
              <w:rPr>
                <w:rFonts w:hint="eastAsia" w:ascii="黑体" w:hAnsi="黑体" w:eastAsia="黑体" w:cs="Arial"/>
                <w:color w:val="000000"/>
                <w:sz w:val="18"/>
                <w:szCs w:val="18"/>
                <w:lang w:val="en-US" w:eastAsia="zh-CN"/>
              </w:rPr>
              <w:t>政府</w:t>
            </w:r>
            <w:r>
              <w:rPr>
                <w:rFonts w:hint="eastAsia" w:ascii="黑体" w:hAnsi="黑体" w:eastAsia="黑体" w:cs="Arial"/>
                <w:color w:val="000000"/>
                <w:sz w:val="18"/>
                <w:szCs w:val="18"/>
              </w:rPr>
              <w:t>预算</w:t>
            </w:r>
          </w:p>
          <w:p>
            <w:pPr>
              <w:jc w:val="center"/>
              <w:rPr>
                <w:rFonts w:hint="eastAsia" w:ascii="黑体" w:hAnsi="黑体" w:eastAsia="黑体" w:cs="Arial"/>
                <w:color w:val="000000"/>
                <w:sz w:val="18"/>
                <w:szCs w:val="18"/>
              </w:rPr>
            </w:pPr>
            <w:r>
              <w:rPr>
                <w:rFonts w:hint="eastAsia" w:ascii="黑体" w:hAnsi="黑体" w:eastAsia="黑体" w:cs="Arial"/>
                <w:color w:val="000000"/>
                <w:sz w:val="18"/>
                <w:szCs w:val="18"/>
              </w:rPr>
              <w:t>支出经济</w:t>
            </w:r>
          </w:p>
          <w:p>
            <w:pPr>
              <w:jc w:val="center"/>
              <w:rPr>
                <w:rFonts w:hint="eastAsia" w:ascii="黑体" w:hAnsi="黑体" w:eastAsia="黑体" w:cs="Arial"/>
                <w:color w:val="000000"/>
                <w:sz w:val="18"/>
                <w:szCs w:val="18"/>
                <w:highlight w:val="cyan"/>
              </w:rPr>
            </w:pPr>
            <w:r>
              <w:rPr>
                <w:rFonts w:hint="eastAsia" w:ascii="黑体" w:hAnsi="黑体" w:eastAsia="黑体" w:cs="Arial"/>
                <w:color w:val="000000"/>
                <w:sz w:val="18"/>
                <w:szCs w:val="18"/>
              </w:rPr>
              <w:t>分类科目</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合计</w:t>
            </w:r>
          </w:p>
        </w:tc>
        <w:tc>
          <w:tcPr>
            <w:tcW w:w="3781"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财政拨款</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rPr>
            </w:pPr>
            <w:r>
              <w:rPr>
                <w:rFonts w:hint="eastAsia" w:ascii="黑体" w:hAnsi="黑体" w:eastAsia="黑体" w:cs="Arial"/>
                <w:color w:val="000000"/>
                <w:sz w:val="18"/>
                <w:szCs w:val="18"/>
              </w:rPr>
              <w:t>财政专户</w:t>
            </w:r>
          </w:p>
          <w:p>
            <w:pPr>
              <w:jc w:val="center"/>
              <w:rPr>
                <w:rFonts w:ascii="黑体" w:hAnsi="黑体" w:eastAsia="黑体" w:cs="Arial"/>
                <w:color w:val="000000"/>
                <w:sz w:val="18"/>
                <w:szCs w:val="18"/>
              </w:rPr>
            </w:pPr>
            <w:r>
              <w:rPr>
                <w:rFonts w:hint="eastAsia" w:ascii="黑体" w:hAnsi="黑体" w:eastAsia="黑体" w:cs="Arial"/>
                <w:color w:val="000000"/>
                <w:sz w:val="18"/>
                <w:szCs w:val="18"/>
              </w:rPr>
              <w:t>管理资金</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单位资金</w:t>
            </w:r>
          </w:p>
        </w:tc>
        <w:tc>
          <w:tcPr>
            <w:tcW w:w="946"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使用非财政拨款结余</w:t>
            </w:r>
          </w:p>
        </w:tc>
        <w:tc>
          <w:tcPr>
            <w:tcW w:w="946" w:type="dxa"/>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上年结转</w:t>
            </w:r>
          </w:p>
        </w:tc>
      </w:tr>
      <w:tr>
        <w:tblPrEx>
          <w:tblCellMar>
            <w:top w:w="0" w:type="dxa"/>
            <w:left w:w="0" w:type="dxa"/>
            <w:bottom w:w="0" w:type="dxa"/>
            <w:right w:w="0" w:type="dxa"/>
          </w:tblCellMar>
        </w:tblPrEx>
        <w:trPr>
          <w:trHeight w:val="312" w:hRule="atLeast"/>
        </w:trPr>
        <w:tc>
          <w:tcPr>
            <w:tcW w:w="2028" w:type="dxa"/>
            <w:gridSpan w:val="2"/>
            <w:vMerge w:val="continue"/>
            <w:tcBorders>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1014" w:type="dxa"/>
            <w:vMerge w:val="continue"/>
            <w:tcBorders>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2028" w:type="dxa"/>
            <w:gridSpan w:val="2"/>
            <w:vMerge w:val="continue"/>
            <w:tcBorders>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lang w:val="en-US" w:eastAsia="zh-CN" w:bidi="ar-SA"/>
              </w:rPr>
            </w:pPr>
          </w:p>
        </w:tc>
        <w:tc>
          <w:tcPr>
            <w:tcW w:w="1014" w:type="dxa"/>
            <w:vMerge w:val="continue"/>
            <w:tcBorders>
              <w:left w:val="single" w:color="000000" w:sz="4" w:space="0"/>
              <w:right w:val="single" w:color="000000" w:sz="4" w:space="0"/>
            </w:tcBorders>
            <w:vAlign w:val="center"/>
          </w:tcPr>
          <w:p>
            <w:pPr>
              <w:rPr>
                <w:rFonts w:ascii="黑体" w:hAnsi="黑体" w:eastAsia="黑体" w:cs="Arial"/>
                <w:color w:val="000000"/>
                <w:sz w:val="18"/>
                <w:szCs w:val="18"/>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小计</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rPr>
            </w:pPr>
            <w:r>
              <w:rPr>
                <w:rFonts w:hint="eastAsia" w:ascii="黑体" w:hAnsi="黑体" w:eastAsia="黑体" w:cs="Arial"/>
                <w:color w:val="000000"/>
                <w:sz w:val="18"/>
                <w:szCs w:val="18"/>
              </w:rPr>
              <w:t>一般公共</w:t>
            </w:r>
          </w:p>
          <w:p>
            <w:pPr>
              <w:jc w:val="center"/>
              <w:rPr>
                <w:rFonts w:ascii="黑体" w:hAnsi="黑体" w:eastAsia="黑体" w:cs="Arial"/>
                <w:color w:val="000000"/>
                <w:sz w:val="18"/>
                <w:szCs w:val="18"/>
              </w:rPr>
            </w:pPr>
            <w:r>
              <w:rPr>
                <w:rFonts w:hint="eastAsia" w:ascii="黑体" w:hAnsi="黑体" w:eastAsia="黑体" w:cs="Arial"/>
                <w:color w:val="000000"/>
                <w:sz w:val="18"/>
                <w:szCs w:val="18"/>
              </w:rPr>
              <w:t>预算</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rPr>
            </w:pPr>
            <w:r>
              <w:rPr>
                <w:rFonts w:hint="eastAsia" w:ascii="黑体" w:hAnsi="黑体" w:eastAsia="黑体" w:cs="Arial"/>
                <w:color w:val="000000"/>
                <w:sz w:val="18"/>
                <w:szCs w:val="18"/>
              </w:rPr>
              <w:t>政府性</w:t>
            </w:r>
          </w:p>
          <w:p>
            <w:pPr>
              <w:jc w:val="center"/>
              <w:rPr>
                <w:rFonts w:ascii="黑体" w:hAnsi="黑体" w:eastAsia="黑体" w:cs="Arial"/>
                <w:color w:val="000000"/>
                <w:sz w:val="18"/>
                <w:szCs w:val="18"/>
              </w:rPr>
            </w:pPr>
            <w:r>
              <w:rPr>
                <w:rFonts w:hint="eastAsia" w:ascii="黑体" w:hAnsi="黑体" w:eastAsia="黑体" w:cs="Arial"/>
                <w:color w:val="000000"/>
                <w:sz w:val="18"/>
                <w:szCs w:val="18"/>
              </w:rPr>
              <w:t>基金预算</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rPr>
            </w:pPr>
            <w:r>
              <w:rPr>
                <w:rFonts w:hint="eastAsia" w:ascii="黑体" w:hAnsi="黑体" w:eastAsia="黑体" w:cs="Arial"/>
                <w:color w:val="000000"/>
                <w:sz w:val="18"/>
                <w:szCs w:val="18"/>
              </w:rPr>
              <w:t>国有资本</w:t>
            </w:r>
          </w:p>
          <w:p>
            <w:pPr>
              <w:jc w:val="center"/>
              <w:rPr>
                <w:rFonts w:ascii="黑体" w:hAnsi="黑体" w:eastAsia="黑体" w:cs="Arial"/>
                <w:color w:val="000000"/>
                <w:sz w:val="18"/>
                <w:szCs w:val="18"/>
              </w:rPr>
            </w:pPr>
            <w:r>
              <w:rPr>
                <w:rFonts w:hint="eastAsia" w:ascii="黑体" w:hAnsi="黑体" w:eastAsia="黑体" w:cs="Arial"/>
                <w:color w:val="000000"/>
                <w:sz w:val="18"/>
                <w:szCs w:val="18"/>
              </w:rPr>
              <w:t>经营预算</w:t>
            </w: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6"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946" w:type="dxa"/>
            <w:vMerge w:val="continue"/>
            <w:tcBorders>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p>
        </w:tc>
      </w:tr>
      <w:tr>
        <w:tblPrEx>
          <w:tblCellMar>
            <w:top w:w="0" w:type="dxa"/>
            <w:left w:w="0" w:type="dxa"/>
            <w:bottom w:w="0" w:type="dxa"/>
            <w:right w:w="0" w:type="dxa"/>
          </w:tblCellMar>
        </w:tblPrEx>
        <w:trPr>
          <w:trHeight w:val="610" w:hRule="atLeast"/>
        </w:trPr>
        <w:tc>
          <w:tcPr>
            <w:tcW w:w="1014"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类</w:t>
            </w:r>
          </w:p>
        </w:tc>
        <w:tc>
          <w:tcPr>
            <w:tcW w:w="1014"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款</w:t>
            </w:r>
          </w:p>
        </w:tc>
        <w:tc>
          <w:tcPr>
            <w:tcW w:w="1014" w:type="dxa"/>
            <w:vMerge w:val="continue"/>
            <w:tcBorders>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lang w:val="en-US" w:eastAsia="zh-CN" w:bidi="ar-SA"/>
              </w:rPr>
            </w:pPr>
            <w:r>
              <w:rPr>
                <w:rFonts w:hint="eastAsia" w:ascii="黑体" w:hAnsi="黑体" w:eastAsia="黑体" w:cs="Arial"/>
                <w:color w:val="000000"/>
                <w:sz w:val="18"/>
                <w:szCs w:val="18"/>
              </w:rPr>
              <w:t>类</w:t>
            </w:r>
          </w:p>
        </w:tc>
        <w:tc>
          <w:tcPr>
            <w:tcW w:w="1014"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黑体" w:eastAsia="黑体" w:cs="Arial"/>
                <w:color w:val="000000"/>
                <w:sz w:val="18"/>
                <w:szCs w:val="18"/>
                <w:highlight w:val="cyan"/>
                <w:lang w:val="en-US" w:eastAsia="zh-CN"/>
              </w:rPr>
            </w:pPr>
            <w:r>
              <w:rPr>
                <w:rFonts w:hint="eastAsia" w:ascii="黑体" w:hAnsi="黑体" w:eastAsia="黑体" w:cs="Arial"/>
                <w:color w:val="000000"/>
                <w:sz w:val="18"/>
                <w:szCs w:val="18"/>
              </w:rPr>
              <w:t>类</w:t>
            </w:r>
          </w:p>
        </w:tc>
        <w:tc>
          <w:tcPr>
            <w:tcW w:w="1014"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黑体" w:eastAsia="黑体" w:cs="Arial"/>
                <w:color w:val="000000"/>
                <w:sz w:val="18"/>
                <w:szCs w:val="18"/>
                <w:highlight w:val="cyan"/>
              </w:rPr>
            </w:pPr>
            <w:r>
              <w:rPr>
                <w:rFonts w:hint="eastAsia" w:ascii="黑体" w:hAnsi="黑体" w:eastAsia="黑体" w:cs="Arial"/>
                <w:color w:val="000000"/>
                <w:sz w:val="18"/>
                <w:szCs w:val="18"/>
              </w:rPr>
              <w:t>款</w:t>
            </w:r>
          </w:p>
        </w:tc>
        <w:tc>
          <w:tcPr>
            <w:tcW w:w="1014"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946"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946"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20"/>
                <w:szCs w:val="20"/>
              </w:rPr>
            </w:pPr>
          </w:p>
        </w:tc>
      </w:tr>
      <w:tr>
        <w:tblPrEx>
          <w:tblCellMar>
            <w:top w:w="0" w:type="dxa"/>
            <w:left w:w="0" w:type="dxa"/>
            <w:bottom w:w="0" w:type="dxa"/>
            <w:right w:w="0" w:type="dxa"/>
          </w:tblCellMar>
        </w:tblPrEx>
        <w:trPr>
          <w:trHeight w:val="480" w:hRule="atLeast"/>
        </w:trPr>
        <w:tc>
          <w:tcPr>
            <w:tcW w:w="30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eastAsia="仿宋_GB2312" w:cs="Arial"/>
                <w:color w:val="000000"/>
                <w:sz w:val="18"/>
                <w:szCs w:val="18"/>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rPr>
            </w:pPr>
            <w:r>
              <w:rPr>
                <w:rFonts w:hint="eastAsia" w:ascii="仿宋_GB2312" w:hAnsi="仿宋_GB2312" w:eastAsia="仿宋_GB2312" w:cs="仿宋_GB2312"/>
                <w:color w:val="000000"/>
                <w:sz w:val="18"/>
                <w:szCs w:val="18"/>
                <w:lang w:val="en-US" w:eastAsia="zh-CN"/>
              </w:rPr>
              <w:t>85.72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85.72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85.72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left"/>
              <w:rPr>
                <w:rFonts w:ascii="仿宋_GB2312" w:hAnsi="仿宋_GB2312" w:eastAsia="仿宋_GB2312" w:cs="仿宋_GB2312"/>
                <w:color w:val="000000"/>
                <w:kern w:val="2"/>
                <w:sz w:val="18"/>
                <w:szCs w:val="18"/>
                <w:lang w:val="en-US" w:eastAsia="zh-CN" w:bidi="ar-SA"/>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工资福利支出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left"/>
              <w:rPr>
                <w:rFonts w:ascii="仿宋_GB2312" w:hAnsi="仿宋_GB2312" w:eastAsia="仿宋_GB2312" w:cs="仿宋_GB2312"/>
                <w:color w:val="000000"/>
                <w:kern w:val="2"/>
                <w:sz w:val="18"/>
                <w:szCs w:val="18"/>
                <w:lang w:val="en-US" w:eastAsia="zh-CN" w:bidi="ar-SA"/>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机关工资福利支出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74.30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74.30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74.30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基本工资</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19.49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19.49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19.49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津贴补贴</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14.75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14.75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14.75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奖金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18.93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18.93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18.93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 xml:space="preserve">  08</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机关事业单位基本养老保险缴费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8.30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8.30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8.30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 xml:space="preserve">  10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职工基本医疗保险缴费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4.25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4.25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4.25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 xml:space="preserve">  11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公务员医疗补助缴费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sz w:val="20"/>
                <w:szCs w:val="20"/>
              </w:rPr>
            </w:pPr>
            <w:r>
              <w:rPr>
                <w:rFonts w:hint="eastAsia" w:ascii="仿宋_GB2312" w:hAnsi="仿宋_GB2312" w:eastAsia="仿宋_GB2312" w:cs="仿宋_GB2312"/>
                <w:color w:val="000000"/>
                <w:sz w:val="18"/>
                <w:szCs w:val="18"/>
                <w:lang w:val="en-US" w:eastAsia="zh-CN"/>
              </w:rPr>
              <w:t>1.04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 xml:space="preserve">  12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其他社会保障缴费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301</w:t>
            </w:r>
          </w:p>
        </w:tc>
        <w:tc>
          <w:tcPr>
            <w:tcW w:w="101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 xml:space="preserve">  13</w:t>
            </w:r>
          </w:p>
        </w:tc>
        <w:tc>
          <w:tcPr>
            <w:tcW w:w="101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住房公积金</w:t>
            </w:r>
          </w:p>
        </w:tc>
        <w:tc>
          <w:tcPr>
            <w:tcW w:w="101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501</w:t>
            </w:r>
          </w:p>
        </w:tc>
        <w:tc>
          <w:tcPr>
            <w:tcW w:w="101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03</w:t>
            </w:r>
          </w:p>
        </w:tc>
        <w:tc>
          <w:tcPr>
            <w:tcW w:w="101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住房公积金</w:t>
            </w:r>
          </w:p>
        </w:tc>
        <w:tc>
          <w:tcPr>
            <w:tcW w:w="94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7.18</w:t>
            </w:r>
          </w:p>
        </w:tc>
        <w:tc>
          <w:tcPr>
            <w:tcW w:w="94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7.18</w:t>
            </w:r>
          </w:p>
        </w:tc>
        <w:tc>
          <w:tcPr>
            <w:tcW w:w="94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7.18</w:t>
            </w:r>
          </w:p>
        </w:tc>
        <w:tc>
          <w:tcPr>
            <w:tcW w:w="94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c>
          <w:tcPr>
            <w:tcW w:w="946"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hint="eastAsia" w:ascii="仿宋_GB2312" w:hAnsi="仿宋_GB2312" w:eastAsia="仿宋_GB2312" w:cs="仿宋_GB2312"/>
                <w:color w:val="000000"/>
                <w:kern w:val="0"/>
                <w:sz w:val="18"/>
                <w:szCs w:val="18"/>
                <w:lang w:val="en-US" w:eastAsia="zh-CN" w:bidi="ar"/>
              </w:rPr>
            </w:pP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商品和服务支出</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仿宋_GB2312" w:eastAsia="仿宋_GB2312" w:cs="仿宋_GB2312"/>
                <w:color w:val="000000"/>
                <w:kern w:val="0"/>
                <w:sz w:val="18"/>
                <w:szCs w:val="18"/>
                <w:lang w:val="en-US" w:eastAsia="zh-CN" w:bidi="ar"/>
              </w:rPr>
            </w:pP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机关商品和服务支出</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11.40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11.40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11.40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 xml:space="preserve">  01</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办公费</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01</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办公经费</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2.00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2.00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2.00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 xml:space="preserve">  11</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差旅费</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01</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办公经费</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1.90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1.90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1.90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15</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会议费</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会议费</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16</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培训费</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03</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培训费</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1.00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17</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公务接待费</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06</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公务接待费</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0.50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0.50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0.50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 xml:space="preserve">  39</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其他交通费用</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01</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办公经费</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3.00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3.00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3.00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99</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其他商品和服务支出</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502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99</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其他商品和服务支出</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2.00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2.00</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2.00</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303</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hint="eastAsia" w:ascii="仿宋_GB2312" w:hAnsi="仿宋_GB2312" w:eastAsia="仿宋_GB2312" w:cs="仿宋_GB2312"/>
                <w:color w:val="000000"/>
                <w:kern w:val="0"/>
                <w:sz w:val="18"/>
                <w:szCs w:val="18"/>
                <w:lang w:val="en-US" w:eastAsia="zh-CN" w:bidi="ar"/>
              </w:rPr>
            </w:pP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对个人和家庭的补助</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8"/>
                <w:szCs w:val="18"/>
                <w:lang w:val="en-US" w:eastAsia="zh-CN" w:bidi="ar"/>
              </w:rPr>
            </w:pPr>
            <w:r>
              <w:rPr>
                <w:rFonts w:hint="eastAsia" w:ascii="宋体" w:hAnsi="宋体" w:eastAsia="宋体" w:cs="宋体"/>
                <w:i w:val="0"/>
                <w:color w:val="000000"/>
                <w:kern w:val="0"/>
                <w:sz w:val="20"/>
                <w:szCs w:val="20"/>
                <w:u w:val="none"/>
                <w:lang w:val="en-US" w:eastAsia="zh-CN" w:bidi="ar"/>
              </w:rPr>
              <w:t>509</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rFonts w:hint="eastAsia" w:ascii="仿宋_GB2312" w:hAnsi="仿宋_GB2312" w:eastAsia="仿宋_GB2312" w:cs="仿宋_GB2312"/>
                <w:color w:val="000000"/>
                <w:kern w:val="0"/>
                <w:sz w:val="18"/>
                <w:szCs w:val="18"/>
                <w:lang w:val="en-US" w:eastAsia="zh-CN" w:bidi="ar"/>
              </w:rPr>
            </w:pP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对个人和家庭的补助</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0.01</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r>
        <w:tblPrEx>
          <w:tblCellMar>
            <w:top w:w="0" w:type="dxa"/>
            <w:left w:w="0" w:type="dxa"/>
            <w:bottom w:w="0" w:type="dxa"/>
            <w:right w:w="0" w:type="dxa"/>
          </w:tblCellMar>
        </w:tblPrEx>
        <w:trPr>
          <w:trHeight w:val="480"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303</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09</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both"/>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奖励金</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509</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both"/>
              <w:textAlignment w:val="center"/>
              <w:rPr>
                <w:rFonts w:hint="eastAsia" w:ascii="仿宋_GB2312" w:hAnsi="仿宋_GB2312" w:eastAsia="仿宋_GB2312" w:cs="仿宋_GB2312"/>
                <w:color w:val="000000"/>
                <w:kern w:val="2"/>
                <w:sz w:val="18"/>
                <w:szCs w:val="18"/>
                <w:lang w:val="en-US" w:eastAsia="zh-CN" w:bidi="ar-SA"/>
              </w:rPr>
            </w:pPr>
            <w:r>
              <w:rPr>
                <w:rFonts w:hint="eastAsia" w:ascii="宋体" w:hAnsi="宋体" w:eastAsia="宋体" w:cs="宋体"/>
                <w:i w:val="0"/>
                <w:color w:val="000000"/>
                <w:kern w:val="0"/>
                <w:sz w:val="20"/>
                <w:szCs w:val="20"/>
                <w:u w:val="none"/>
                <w:lang w:val="en-US" w:eastAsia="zh-CN" w:bidi="ar"/>
              </w:rPr>
              <w:t>社会福利和救助</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lang w:val="en-US" w:eastAsia="zh-CN"/>
              </w:rPr>
              <w:t>0.01</w:t>
            </w: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c>
          <w:tcPr>
            <w:tcW w:w="0" w:type="auto"/>
            <w:tcBorders>
              <w:top w:val="single" w:color="auto" w:sz="4" w:space="0"/>
              <w:left w:val="single" w:color="auto" w:sz="4" w:space="0"/>
              <w:bottom w:val="single" w:color="auto" w:sz="4" w:space="0"/>
              <w:right w:val="single" w:color="auto" w:sz="4" w:space="0"/>
            </w:tcBorders>
          </w:tcPr>
          <w:p>
            <w:pPr>
              <w:jc w:val="right"/>
              <w:rPr>
                <w:rFonts w:ascii="仿宋_GB2312" w:eastAsia="仿宋_GB2312"/>
                <w:sz w:val="20"/>
                <w:szCs w:val="20"/>
              </w:rPr>
            </w:pPr>
          </w:p>
        </w:tc>
      </w:tr>
    </w:tbl>
    <w:p>
      <w:pPr>
        <w:widowControl/>
        <w:jc w:val="left"/>
        <w:rPr>
          <w:rFonts w:ascii="仿宋_GB2312" w:eastAsia="仿宋_GB2312"/>
          <w:b/>
          <w:sz w:val="30"/>
          <w:szCs w:val="30"/>
        </w:rPr>
      </w:pPr>
      <w:r>
        <w:rPr>
          <w:rFonts w:ascii="仿宋_GB2312" w:eastAsia="仿宋_GB2312"/>
          <w:b/>
          <w:sz w:val="30"/>
          <w:szCs w:val="30"/>
        </w:rPr>
        <w:t xml:space="preserve"> </w:t>
      </w:r>
      <w:r>
        <w:rPr>
          <w:rFonts w:ascii="仿宋_GB2312" w:eastAsia="仿宋_GB2312"/>
          <w:b/>
          <w:sz w:val="30"/>
          <w:szCs w:val="30"/>
        </w:rPr>
        <w:br w:type="page"/>
      </w:r>
    </w:p>
    <w:tbl>
      <w:tblPr>
        <w:tblStyle w:val="8"/>
        <w:tblW w:w="14590" w:type="dxa"/>
        <w:tblInd w:w="0" w:type="dxa"/>
        <w:tblLayout w:type="fixed"/>
        <w:tblCellMar>
          <w:top w:w="0" w:type="dxa"/>
          <w:left w:w="0" w:type="dxa"/>
          <w:bottom w:w="0" w:type="dxa"/>
          <w:right w:w="0" w:type="dxa"/>
        </w:tblCellMar>
      </w:tblPr>
      <w:tblGrid>
        <w:gridCol w:w="4639"/>
        <w:gridCol w:w="1561"/>
        <w:gridCol w:w="932"/>
        <w:gridCol w:w="932"/>
        <w:gridCol w:w="932"/>
        <w:gridCol w:w="932"/>
        <w:gridCol w:w="932"/>
        <w:gridCol w:w="932"/>
        <w:gridCol w:w="932"/>
        <w:gridCol w:w="933"/>
        <w:gridCol w:w="933"/>
      </w:tblGrid>
      <w:tr>
        <w:tblPrEx>
          <w:tblCellMar>
            <w:top w:w="0" w:type="dxa"/>
            <w:left w:w="0" w:type="dxa"/>
            <w:bottom w:w="0" w:type="dxa"/>
            <w:right w:w="0" w:type="dxa"/>
          </w:tblCellMar>
        </w:tblPrEx>
        <w:trPr>
          <w:trHeight w:val="340" w:hRule="atLeast"/>
          <w:tblHeader/>
        </w:trPr>
        <w:tc>
          <w:tcPr>
            <w:tcW w:w="14590" w:type="dxa"/>
            <w:gridSpan w:val="11"/>
            <w:tcBorders>
              <w:top w:val="nil"/>
              <w:left w:val="nil"/>
              <w:bottom w:val="nil"/>
              <w:right w:val="nil"/>
            </w:tcBorders>
            <w:shd w:val="clear" w:color="000000" w:fill="FFFFFF"/>
            <w:noWrap/>
            <w:tcMar>
              <w:top w:w="10" w:type="dxa"/>
              <w:left w:w="10" w:type="dxa"/>
              <w:right w:w="10" w:type="dxa"/>
            </w:tcMar>
            <w:vAlign w:val="center"/>
          </w:tcPr>
          <w:p>
            <w:pPr>
              <w:jc w:val="right"/>
              <w:rPr>
                <w:rFonts w:hint="default" w:ascii="宋体" w:hAnsi="宋体" w:eastAsia="黑体" w:cs="宋体"/>
                <w:color w:val="000000"/>
                <w:sz w:val="18"/>
                <w:szCs w:val="18"/>
                <w:lang w:val="en-US" w:eastAsia="zh-CN"/>
              </w:rPr>
            </w:pPr>
            <w:r>
              <w:rPr>
                <w:rFonts w:hint="eastAsia" w:ascii="黑体" w:hAnsi="黑体" w:eastAsia="黑体"/>
                <w:bCs/>
                <w:szCs w:val="21"/>
              </w:rPr>
              <w:t>公开表</w:t>
            </w:r>
            <w:r>
              <w:rPr>
                <w:rFonts w:hint="eastAsia" w:ascii="黑体" w:hAnsi="黑体" w:eastAsia="黑体"/>
                <w:bCs/>
                <w:szCs w:val="21"/>
                <w:lang w:val="en-US" w:eastAsia="zh-CN"/>
              </w:rPr>
              <w:t>11</w:t>
            </w:r>
          </w:p>
        </w:tc>
      </w:tr>
      <w:tr>
        <w:tblPrEx>
          <w:tblCellMar>
            <w:top w:w="0" w:type="dxa"/>
            <w:left w:w="0" w:type="dxa"/>
            <w:bottom w:w="0" w:type="dxa"/>
            <w:right w:w="0" w:type="dxa"/>
          </w:tblCellMar>
        </w:tblPrEx>
        <w:trPr>
          <w:trHeight w:val="645" w:hRule="atLeast"/>
          <w:tblHeader/>
        </w:trPr>
        <w:tc>
          <w:tcPr>
            <w:tcW w:w="14590" w:type="dxa"/>
            <w:gridSpan w:val="11"/>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项目支出预算</w:t>
            </w:r>
            <w:r>
              <w:rPr>
                <w:rFonts w:hint="eastAsia" w:ascii="黑体" w:hAnsi="黑体" w:eastAsia="黑体"/>
                <w:bCs/>
                <w:sz w:val="28"/>
                <w:szCs w:val="28"/>
                <w:lang w:val="en-US" w:eastAsia="zh-CN"/>
              </w:rPr>
              <w:t>情况</w:t>
            </w:r>
            <w:r>
              <w:rPr>
                <w:rFonts w:hint="eastAsia" w:ascii="黑体" w:hAnsi="黑体" w:eastAsia="黑体"/>
                <w:bCs/>
                <w:sz w:val="28"/>
                <w:szCs w:val="28"/>
              </w:rPr>
              <w:t>表</w:t>
            </w:r>
          </w:p>
        </w:tc>
      </w:tr>
      <w:tr>
        <w:tblPrEx>
          <w:tblCellMar>
            <w:top w:w="0" w:type="dxa"/>
            <w:left w:w="0" w:type="dxa"/>
            <w:bottom w:w="0" w:type="dxa"/>
            <w:right w:w="0" w:type="dxa"/>
          </w:tblCellMar>
        </w:tblPrEx>
        <w:trPr>
          <w:trHeight w:val="340" w:hRule="atLeast"/>
          <w:tblHeader/>
        </w:trPr>
        <w:tc>
          <w:tcPr>
            <w:tcW w:w="14590" w:type="dxa"/>
            <w:gridSpan w:val="11"/>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340" w:hRule="atLeast"/>
          <w:tblHeader/>
        </w:trPr>
        <w:tc>
          <w:tcPr>
            <w:tcW w:w="4639"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项目名称</w:t>
            </w:r>
          </w:p>
        </w:tc>
        <w:tc>
          <w:tcPr>
            <w:tcW w:w="1561"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项目类型</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3728"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财政拨款</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财政专户</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管理资金</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单位资金</w:t>
            </w:r>
          </w:p>
        </w:tc>
        <w:tc>
          <w:tcPr>
            <w:tcW w:w="933"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使用非财政拨款结余</w:t>
            </w:r>
          </w:p>
        </w:tc>
        <w:tc>
          <w:tcPr>
            <w:tcW w:w="933" w:type="dxa"/>
            <w:vMerge w:val="restart"/>
            <w:tcBorders>
              <w:top w:val="single" w:color="auto" w:sz="4" w:space="0"/>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上年结转</w:t>
            </w:r>
          </w:p>
        </w:tc>
      </w:tr>
      <w:tr>
        <w:tblPrEx>
          <w:tblCellMar>
            <w:top w:w="0" w:type="dxa"/>
            <w:left w:w="0" w:type="dxa"/>
            <w:bottom w:w="0" w:type="dxa"/>
            <w:right w:w="0" w:type="dxa"/>
          </w:tblCellMar>
        </w:tblPrEx>
        <w:trPr>
          <w:trHeight w:val="340" w:hRule="atLeast"/>
          <w:tblHeader/>
        </w:trPr>
        <w:tc>
          <w:tcPr>
            <w:tcW w:w="4639"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rPr>
            </w:pPr>
          </w:p>
        </w:tc>
        <w:tc>
          <w:tcPr>
            <w:tcW w:w="1561"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rPr>
            </w:pP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一般公共</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预算</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政府性</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基金预算</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国有资本</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经营预算</w:t>
            </w: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9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933" w:type="dxa"/>
            <w:vMerge w:val="continue"/>
            <w:tcBorders>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textAlignment w:val="center"/>
              <w:rPr>
                <w:rFonts w:ascii="仿宋_GB2312" w:hAnsi="仿宋_GB2312" w:eastAsia="仿宋_GB2312" w:cs="仿宋_GB2312"/>
                <w:b/>
                <w:color w:val="000000"/>
                <w:sz w:val="18"/>
                <w:szCs w:val="18"/>
              </w:rPr>
            </w:pPr>
            <w:r>
              <w:rPr>
                <w:rFonts w:hint="eastAsia" w:ascii="仿宋_GB2312" w:hAnsi="仿宋_GB2312" w:eastAsia="仿宋_GB2312" w:cs="仿宋_GB2312"/>
                <w:b/>
                <w:color w:val="000000"/>
                <w:sz w:val="18"/>
                <w:szCs w:val="18"/>
              </w:rPr>
              <w:t xml:space="preserve">合 </w:t>
            </w:r>
            <w:r>
              <w:rPr>
                <w:rFonts w:ascii="仿宋_GB2312" w:hAnsi="仿宋_GB2312" w:eastAsia="仿宋_GB2312" w:cs="仿宋_GB2312"/>
                <w:b/>
                <w:color w:val="000000"/>
                <w:sz w:val="18"/>
                <w:szCs w:val="18"/>
              </w:rPr>
              <w:t xml:space="preserve">   </w:t>
            </w:r>
            <w:r>
              <w:rPr>
                <w:rFonts w:hint="eastAsia" w:ascii="仿宋_GB2312" w:hAnsi="仿宋_GB2312" w:eastAsia="仿宋_GB2312" w:cs="仿宋_GB2312"/>
                <w:b/>
                <w:color w:val="000000"/>
                <w:sz w:val="18"/>
                <w:szCs w:val="18"/>
              </w:rPr>
              <w:t>计</w:t>
            </w: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val="0"/>
                <w:bCs/>
                <w:color w:val="000000"/>
                <w:sz w:val="20"/>
                <w:szCs w:val="20"/>
                <w:lang w:val="en-US" w:eastAsia="zh-CN"/>
              </w:rPr>
            </w:pPr>
            <w:r>
              <w:rPr>
                <w:rFonts w:hint="eastAsia" w:ascii="仿宋_GB2312" w:hAnsi="仿宋_GB2312" w:eastAsia="仿宋_GB2312" w:cs="仿宋_GB2312"/>
                <w:b w:val="0"/>
                <w:bCs/>
                <w:color w:val="000000"/>
                <w:sz w:val="20"/>
                <w:szCs w:val="20"/>
                <w:lang w:val="en-US" w:eastAsia="zh-CN"/>
              </w:rPr>
              <w:t>50.00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val="0"/>
                <w:bCs/>
                <w:color w:val="000000"/>
                <w:sz w:val="20"/>
                <w:szCs w:val="20"/>
                <w:lang w:val="en-US" w:eastAsia="zh-CN"/>
              </w:rPr>
            </w:pPr>
            <w:r>
              <w:rPr>
                <w:rFonts w:hint="eastAsia" w:ascii="仿宋_GB2312" w:hAnsi="仿宋_GB2312" w:eastAsia="仿宋_GB2312" w:cs="仿宋_GB2312"/>
                <w:b w:val="0"/>
                <w:bCs/>
                <w:color w:val="000000"/>
                <w:sz w:val="20"/>
                <w:szCs w:val="20"/>
                <w:lang w:val="en-US" w:eastAsia="zh-CN"/>
              </w:rPr>
              <w:t>50.00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val="0"/>
                <w:bCs/>
                <w:color w:val="000000"/>
                <w:sz w:val="20"/>
                <w:szCs w:val="20"/>
                <w:lang w:val="en-US" w:eastAsia="zh-CN"/>
              </w:rPr>
            </w:pPr>
            <w:r>
              <w:rPr>
                <w:rFonts w:hint="eastAsia" w:ascii="仿宋_GB2312" w:hAnsi="仿宋_GB2312" w:eastAsia="仿宋_GB2312" w:cs="仿宋_GB2312"/>
                <w:b w:val="0"/>
                <w:bCs/>
                <w:color w:val="000000"/>
                <w:sz w:val="20"/>
                <w:szCs w:val="20"/>
                <w:lang w:val="en-US" w:eastAsia="zh-CN"/>
              </w:rPr>
              <w:t>50.00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b/>
                <w:color w:val="000000"/>
                <w:sz w:val="18"/>
                <w:szCs w:val="18"/>
              </w:rPr>
            </w:pPr>
            <w:r>
              <w:rPr>
                <w:rFonts w:hint="eastAsia" w:ascii="宋体" w:hAnsi="宋体" w:eastAsia="宋体" w:cs="宋体"/>
                <w:i w:val="0"/>
                <w:color w:val="000000"/>
                <w:kern w:val="0"/>
                <w:sz w:val="20"/>
                <w:szCs w:val="20"/>
                <w:u w:val="none"/>
                <w:lang w:val="en-US" w:eastAsia="zh-CN" w:bidi="ar"/>
              </w:rPr>
              <w:t>留学人员统战工作经费</w:t>
            </w: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r>
              <w:rPr>
                <w:rFonts w:hint="eastAsia" w:ascii="宋体" w:hAnsi="宋体" w:eastAsia="宋体" w:cs="宋体"/>
                <w:i w:val="0"/>
                <w:color w:val="000000"/>
                <w:kern w:val="0"/>
                <w:sz w:val="20"/>
                <w:szCs w:val="20"/>
                <w:u w:val="none"/>
                <w:lang w:val="en-US" w:eastAsia="zh-CN" w:bidi="ar"/>
              </w:rPr>
              <w:t>其他运转类</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b/>
                <w:color w:val="000000"/>
                <w:sz w:val="18"/>
                <w:szCs w:val="18"/>
              </w:rPr>
            </w:pPr>
            <w:r>
              <w:rPr>
                <w:rFonts w:hint="eastAsia" w:ascii="宋体" w:hAnsi="宋体" w:eastAsia="宋体" w:cs="宋体"/>
                <w:i w:val="0"/>
                <w:color w:val="000000"/>
                <w:kern w:val="0"/>
                <w:sz w:val="20"/>
                <w:szCs w:val="20"/>
                <w:u w:val="none"/>
                <w:lang w:val="en-US" w:eastAsia="zh-CN" w:bidi="ar"/>
              </w:rPr>
              <w:t>50.00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b/>
                <w:color w:val="000000"/>
                <w:sz w:val="18"/>
                <w:szCs w:val="18"/>
              </w:rPr>
            </w:pPr>
            <w:r>
              <w:rPr>
                <w:rFonts w:hint="eastAsia" w:ascii="宋体" w:hAnsi="宋体" w:eastAsia="宋体" w:cs="宋体"/>
                <w:i w:val="0"/>
                <w:color w:val="000000"/>
                <w:kern w:val="0"/>
                <w:sz w:val="20"/>
                <w:szCs w:val="20"/>
                <w:u w:val="none"/>
                <w:lang w:val="en-US" w:eastAsia="zh-CN" w:bidi="ar"/>
              </w:rPr>
              <w:t>50.00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keepNext w:val="0"/>
              <w:keepLines w:val="0"/>
              <w:widowControl/>
              <w:suppressLineNumbers w:val="0"/>
              <w:jc w:val="center"/>
              <w:textAlignment w:val="center"/>
              <w:rPr>
                <w:rFonts w:ascii="仿宋_GB2312" w:hAnsi="仿宋_GB2312" w:eastAsia="仿宋_GB2312" w:cs="仿宋_GB2312"/>
                <w:b/>
                <w:color w:val="000000"/>
                <w:sz w:val="18"/>
                <w:szCs w:val="18"/>
              </w:rPr>
            </w:pPr>
            <w:r>
              <w:rPr>
                <w:rFonts w:hint="eastAsia" w:ascii="宋体" w:hAnsi="宋体" w:eastAsia="宋体" w:cs="宋体"/>
                <w:i w:val="0"/>
                <w:color w:val="000000"/>
                <w:kern w:val="0"/>
                <w:sz w:val="20"/>
                <w:szCs w:val="20"/>
                <w:u w:val="none"/>
                <w:lang w:val="en-US" w:eastAsia="zh-CN" w:bidi="ar"/>
              </w:rPr>
              <w:t>50.00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b/>
                <w:color w:val="000000"/>
                <w:sz w:val="18"/>
                <w:szCs w:val="18"/>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bl>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p>
      <w:pPr>
        <w:jc w:val="left"/>
        <w:rPr>
          <w:rFonts w:hint="eastAsia" w:ascii="仿宋_GB2312" w:eastAsia="仿宋_GB2312"/>
          <w:b/>
          <w:szCs w:val="21"/>
          <w:highlight w:val="yellow"/>
        </w:rPr>
      </w:pPr>
    </w:p>
    <w:tbl>
      <w:tblPr>
        <w:tblStyle w:val="8"/>
        <w:tblW w:w="14590" w:type="dxa"/>
        <w:tblInd w:w="0" w:type="dxa"/>
        <w:tblLayout w:type="fixed"/>
        <w:tblCellMar>
          <w:top w:w="0" w:type="dxa"/>
          <w:left w:w="0" w:type="dxa"/>
          <w:bottom w:w="0" w:type="dxa"/>
          <w:right w:w="0" w:type="dxa"/>
        </w:tblCellMar>
      </w:tblPr>
      <w:tblGrid>
        <w:gridCol w:w="811"/>
        <w:gridCol w:w="811"/>
        <w:gridCol w:w="847"/>
        <w:gridCol w:w="1533"/>
        <w:gridCol w:w="1176"/>
        <w:gridCol w:w="1176"/>
        <w:gridCol w:w="1176"/>
        <w:gridCol w:w="1176"/>
        <w:gridCol w:w="1176"/>
        <w:gridCol w:w="1177"/>
        <w:gridCol w:w="1177"/>
        <w:gridCol w:w="1177"/>
        <w:gridCol w:w="1177"/>
      </w:tblGrid>
      <w:tr>
        <w:tblPrEx>
          <w:tblCellMar>
            <w:top w:w="0" w:type="dxa"/>
            <w:left w:w="0" w:type="dxa"/>
            <w:bottom w:w="0" w:type="dxa"/>
            <w:right w:w="0" w:type="dxa"/>
          </w:tblCellMar>
        </w:tblPrEx>
        <w:trPr>
          <w:trHeight w:val="480" w:hRule="atLeast"/>
        </w:trPr>
        <w:tc>
          <w:tcPr>
            <w:tcW w:w="14590" w:type="dxa"/>
            <w:gridSpan w:val="13"/>
            <w:tcBorders>
              <w:top w:val="nil"/>
              <w:left w:val="nil"/>
              <w:bottom w:val="nil"/>
              <w:right w:val="nil"/>
            </w:tcBorders>
            <w:shd w:val="clear" w:color="000000" w:fill="FFFFFF"/>
            <w:noWrap/>
            <w:tcMar>
              <w:top w:w="10" w:type="dxa"/>
              <w:left w:w="10" w:type="dxa"/>
              <w:right w:w="10" w:type="dxa"/>
            </w:tcMar>
            <w:vAlign w:val="center"/>
          </w:tcPr>
          <w:p>
            <w:pPr>
              <w:jc w:val="right"/>
              <w:rPr>
                <w:rFonts w:hint="eastAsia" w:ascii="宋体" w:hAnsi="宋体" w:eastAsia="黑体" w:cs="宋体"/>
                <w:color w:val="000000"/>
                <w:sz w:val="18"/>
                <w:szCs w:val="18"/>
                <w:lang w:eastAsia="zh-CN"/>
              </w:rPr>
            </w:pPr>
            <w:bookmarkStart w:id="2" w:name="_Hlk95413875"/>
            <w:r>
              <w:rPr>
                <w:rFonts w:hint="eastAsia" w:ascii="黑体" w:hAnsi="黑体" w:eastAsia="黑体"/>
                <w:bCs/>
                <w:szCs w:val="21"/>
              </w:rPr>
              <w:t>公开表</w:t>
            </w:r>
            <w:r>
              <w:rPr>
                <w:rFonts w:ascii="黑体" w:hAnsi="黑体" w:eastAsia="黑体"/>
                <w:bCs/>
                <w:szCs w:val="21"/>
              </w:rPr>
              <w:t>1</w:t>
            </w:r>
            <w:r>
              <w:rPr>
                <w:rFonts w:hint="eastAsia" w:ascii="黑体" w:hAnsi="黑体" w:eastAsia="黑体"/>
                <w:bCs/>
                <w:szCs w:val="21"/>
                <w:lang w:val="en-US" w:eastAsia="zh-CN"/>
              </w:rPr>
              <w:t>2</w:t>
            </w:r>
          </w:p>
        </w:tc>
      </w:tr>
      <w:tr>
        <w:tblPrEx>
          <w:tblCellMar>
            <w:top w:w="0" w:type="dxa"/>
            <w:left w:w="0" w:type="dxa"/>
            <w:bottom w:w="0" w:type="dxa"/>
            <w:right w:w="0" w:type="dxa"/>
          </w:tblCellMar>
        </w:tblPrEx>
        <w:trPr>
          <w:trHeight w:val="510" w:hRule="atLeast"/>
        </w:trPr>
        <w:tc>
          <w:tcPr>
            <w:tcW w:w="14590" w:type="dxa"/>
            <w:gridSpan w:val="13"/>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政府采购预算表</w:t>
            </w:r>
          </w:p>
        </w:tc>
      </w:tr>
      <w:tr>
        <w:tblPrEx>
          <w:tblCellMar>
            <w:top w:w="0" w:type="dxa"/>
            <w:left w:w="0" w:type="dxa"/>
            <w:bottom w:w="0" w:type="dxa"/>
            <w:right w:w="0" w:type="dxa"/>
          </w:tblCellMar>
        </w:tblPrEx>
        <w:trPr>
          <w:trHeight w:val="525" w:hRule="atLeast"/>
        </w:trPr>
        <w:tc>
          <w:tcPr>
            <w:tcW w:w="14590" w:type="dxa"/>
            <w:gridSpan w:val="13"/>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单位：万元</w:t>
            </w:r>
          </w:p>
        </w:tc>
      </w:tr>
      <w:tr>
        <w:tblPrEx>
          <w:tblCellMar>
            <w:top w:w="0" w:type="dxa"/>
            <w:left w:w="0" w:type="dxa"/>
            <w:bottom w:w="0" w:type="dxa"/>
            <w:right w:w="0" w:type="dxa"/>
          </w:tblCellMar>
        </w:tblPrEx>
        <w:trPr>
          <w:trHeight w:val="398" w:hRule="atLeast"/>
        </w:trPr>
        <w:tc>
          <w:tcPr>
            <w:tcW w:w="2469" w:type="dxa"/>
            <w:gridSpan w:val="3"/>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科目编码</w:t>
            </w:r>
          </w:p>
        </w:tc>
        <w:tc>
          <w:tcPr>
            <w:tcW w:w="1533"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科目名称</w:t>
            </w:r>
          </w:p>
        </w:tc>
        <w:tc>
          <w:tcPr>
            <w:tcW w:w="10588" w:type="dxa"/>
            <w:gridSpan w:val="9"/>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资     金     来     源</w:t>
            </w:r>
          </w:p>
        </w:tc>
      </w:tr>
      <w:tr>
        <w:tblPrEx>
          <w:tblCellMar>
            <w:top w:w="0" w:type="dxa"/>
            <w:left w:w="0" w:type="dxa"/>
            <w:bottom w:w="0" w:type="dxa"/>
            <w:right w:w="0" w:type="dxa"/>
          </w:tblCellMar>
        </w:tblPrEx>
        <w:trPr>
          <w:trHeight w:val="398" w:hRule="atLeast"/>
        </w:trPr>
        <w:tc>
          <w:tcPr>
            <w:tcW w:w="8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类</w:t>
            </w:r>
          </w:p>
        </w:tc>
        <w:tc>
          <w:tcPr>
            <w:tcW w:w="8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款</w:t>
            </w:r>
          </w:p>
        </w:tc>
        <w:tc>
          <w:tcPr>
            <w:tcW w:w="84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项</w:t>
            </w:r>
          </w:p>
        </w:tc>
        <w:tc>
          <w:tcPr>
            <w:tcW w:w="15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76"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4704"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财政拨款</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财政专户</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管理资金</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单位资金</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使用非财</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政拨款结余</w:t>
            </w:r>
          </w:p>
        </w:tc>
        <w:tc>
          <w:tcPr>
            <w:tcW w:w="1177" w:type="dxa"/>
            <w:vMerge w:val="restart"/>
            <w:tcBorders>
              <w:top w:val="single" w:color="auto" w:sz="4" w:space="0"/>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上年结转</w:t>
            </w:r>
          </w:p>
        </w:tc>
      </w:tr>
      <w:tr>
        <w:tblPrEx>
          <w:tblCellMar>
            <w:top w:w="0" w:type="dxa"/>
            <w:left w:w="0" w:type="dxa"/>
            <w:bottom w:w="0" w:type="dxa"/>
            <w:right w:w="0" w:type="dxa"/>
          </w:tblCellMar>
        </w:tblPrEx>
        <w:trPr>
          <w:trHeight w:val="638" w:hRule="atLeast"/>
        </w:trPr>
        <w:tc>
          <w:tcPr>
            <w:tcW w:w="8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8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84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5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76"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一般公共</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预算</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政府性</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基金预算</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国有资本</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经营预算</w:t>
            </w: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77" w:type="dxa"/>
            <w:vMerge w:val="continue"/>
            <w:tcBorders>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11"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84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533"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rPr>
            </w:pPr>
          </w:p>
        </w:tc>
      </w:tr>
    </w:tbl>
    <w:p>
      <w:pPr>
        <w:widowControl/>
        <w:jc w:val="center"/>
        <w:textAlignment w:val="center"/>
        <w:rPr>
          <w:rFonts w:hint="eastAsia" w:ascii="黑体" w:hAnsi="黑体" w:eastAsia="黑体" w:cs="黑体"/>
          <w:color w:val="000000"/>
          <w:kern w:val="0"/>
          <w:sz w:val="18"/>
          <w:szCs w:val="18"/>
          <w:lang w:bidi="ar"/>
        </w:rPr>
      </w:pPr>
    </w:p>
    <w:bookmarkEnd w:id="2"/>
    <w:p>
      <w:pPr>
        <w:widowControl/>
        <w:jc w:val="both"/>
        <w:textAlignment w:val="center"/>
        <w:rPr>
          <w:rFonts w:hint="eastAsia"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（注：</w:t>
      </w:r>
      <w:r>
        <w:rPr>
          <w:rFonts w:hint="eastAsia" w:ascii="黑体" w:hAnsi="黑体" w:eastAsia="黑体" w:cs="黑体"/>
          <w:color w:val="000000"/>
          <w:kern w:val="0"/>
          <w:sz w:val="18"/>
          <w:szCs w:val="18"/>
          <w:lang w:eastAsia="zh-CN" w:bidi="ar"/>
        </w:rPr>
        <w:t>威海市欧美同学会秘书处2023</w:t>
      </w:r>
      <w:r>
        <w:rPr>
          <w:rFonts w:hint="eastAsia" w:ascii="黑体" w:hAnsi="黑体" w:eastAsia="黑体" w:cs="黑体"/>
          <w:color w:val="000000"/>
          <w:kern w:val="0"/>
          <w:sz w:val="18"/>
          <w:szCs w:val="18"/>
          <w:lang w:bidi="ar"/>
        </w:rPr>
        <w:t>年</w:t>
      </w:r>
      <w:r>
        <w:rPr>
          <w:rFonts w:hint="eastAsia" w:ascii="黑体" w:hAnsi="黑体" w:eastAsia="黑体" w:cs="黑体"/>
          <w:color w:val="000000"/>
          <w:kern w:val="0"/>
          <w:sz w:val="18"/>
          <w:szCs w:val="18"/>
          <w:lang w:val="en-US" w:eastAsia="zh-CN" w:bidi="ar"/>
        </w:rPr>
        <w:t>未安排政府采购预算</w:t>
      </w:r>
      <w:r>
        <w:rPr>
          <w:rFonts w:hint="eastAsia" w:ascii="黑体" w:hAnsi="黑体" w:eastAsia="黑体" w:cs="黑体"/>
          <w:color w:val="000000"/>
          <w:kern w:val="0"/>
          <w:sz w:val="18"/>
          <w:szCs w:val="18"/>
          <w:lang w:bidi="ar"/>
        </w:rPr>
        <w:t>。）</w:t>
      </w:r>
    </w:p>
    <w:p>
      <w:pPr>
        <w:jc w:val="left"/>
        <w:rPr>
          <w:rFonts w:hint="eastAsia" w:ascii="仿宋_GB2312" w:eastAsia="仿宋_GB2312"/>
          <w:b/>
          <w:szCs w:val="21"/>
          <w:highlight w:val="yellow"/>
        </w:rPr>
      </w:pPr>
    </w:p>
    <w:p>
      <w:pPr>
        <w:rPr>
          <w:rFonts w:ascii="黑体" w:eastAsia="黑体"/>
          <w:sz w:val="52"/>
          <w:szCs w:val="52"/>
        </w:rPr>
      </w:pPr>
    </w:p>
    <w:p>
      <w:pPr>
        <w:rPr>
          <w:rFonts w:ascii="黑体" w:eastAsia="黑体"/>
          <w:sz w:val="52"/>
          <w:szCs w:val="52"/>
        </w:rPr>
        <w:sectPr>
          <w:pgSz w:w="16838" w:h="11906" w:orient="landscape"/>
          <w:pgMar w:top="1701" w:right="1134" w:bottom="1701" w:left="1134" w:header="851" w:footer="992" w:gutter="0"/>
          <w:cols w:space="720" w:num="1"/>
          <w:docGrid w:linePitch="312" w:charSpace="0"/>
        </w:sectPr>
      </w:pPr>
    </w:p>
    <w:p>
      <w:pPr>
        <w:rPr>
          <w:rFonts w:ascii="黑体" w:eastAsia="黑体"/>
          <w:sz w:val="52"/>
          <w:szCs w:val="52"/>
        </w:rPr>
      </w:pPr>
      <w:r>
        <w:rPr>
          <w:rFonts w:hint="eastAsia" w:ascii="黑体" w:eastAsia="黑体"/>
          <w:sz w:val="52"/>
          <w:szCs w:val="52"/>
        </w:rPr>
        <w:t>第三部分</w:t>
      </w: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ind w:left="277" w:leftChars="8" w:hanging="260" w:hangingChars="50"/>
        <w:jc w:val="center"/>
        <w:rPr>
          <w:rFonts w:ascii="黑体" w:eastAsia="黑体"/>
          <w:sz w:val="52"/>
          <w:szCs w:val="52"/>
        </w:rPr>
      </w:pPr>
      <w:r>
        <w:rPr>
          <w:rFonts w:hint="eastAsia" w:ascii="黑体" w:eastAsia="黑体"/>
          <w:sz w:val="52"/>
          <w:szCs w:val="52"/>
          <w:lang w:eastAsia="zh-CN"/>
        </w:rPr>
        <w:t>2023</w:t>
      </w:r>
      <w:r>
        <w:rPr>
          <w:rFonts w:hint="eastAsia" w:ascii="黑体" w:eastAsia="黑体"/>
          <w:sz w:val="52"/>
          <w:szCs w:val="52"/>
        </w:rPr>
        <w:t>年</w:t>
      </w:r>
      <w:r>
        <w:rPr>
          <w:rFonts w:hint="eastAsia" w:ascii="黑体" w:eastAsia="黑体"/>
          <w:sz w:val="52"/>
          <w:szCs w:val="52"/>
          <w:lang w:eastAsia="zh-CN"/>
        </w:rPr>
        <w:t>单位</w:t>
      </w:r>
      <w:r>
        <w:rPr>
          <w:rFonts w:hint="eastAsia" w:ascii="黑体" w:eastAsia="黑体"/>
          <w:sz w:val="52"/>
          <w:szCs w:val="52"/>
        </w:rPr>
        <w:t>预算情况和</w:t>
      </w:r>
    </w:p>
    <w:p>
      <w:pPr>
        <w:ind w:left="277" w:leftChars="8" w:hanging="260" w:hangingChars="50"/>
        <w:jc w:val="center"/>
        <w:rPr>
          <w:rFonts w:ascii="黑体" w:eastAsia="黑体"/>
          <w:sz w:val="52"/>
          <w:szCs w:val="52"/>
        </w:rPr>
      </w:pPr>
      <w:r>
        <w:rPr>
          <w:rFonts w:hint="eastAsia" w:ascii="黑体" w:eastAsia="黑体"/>
          <w:sz w:val="52"/>
          <w:szCs w:val="52"/>
        </w:rPr>
        <w:t>重要事项说明</w:t>
      </w: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rPr>
          <w:rFonts w:ascii="黑体" w:eastAsia="黑体"/>
          <w:sz w:val="32"/>
          <w:szCs w:val="32"/>
        </w:rPr>
      </w:pPr>
      <w:r>
        <w:rPr>
          <w:rFonts w:ascii="黑体" w:eastAsia="黑体"/>
          <w:sz w:val="32"/>
          <w:szCs w:val="32"/>
        </w:rPr>
        <w:br w:type="page"/>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楷体_GB2312" w:eastAsia="楷体_GB2312"/>
          <w:sz w:val="32"/>
          <w:szCs w:val="32"/>
        </w:rPr>
      </w:pPr>
      <w:r>
        <w:rPr>
          <w:rFonts w:hint="eastAsia" w:ascii="黑体" w:eastAsia="黑体"/>
          <w:sz w:val="32"/>
          <w:szCs w:val="32"/>
        </w:rPr>
        <w:t>一、</w:t>
      </w:r>
      <w:r>
        <w:rPr>
          <w:rFonts w:hint="eastAsia" w:ascii="黑体" w:eastAsia="黑体"/>
          <w:sz w:val="32"/>
          <w:szCs w:val="32"/>
          <w:lang w:val="en-US" w:eastAsia="zh-CN"/>
        </w:rPr>
        <w:t>预算收支增减变化情况</w:t>
      </w:r>
      <w:r>
        <w:rPr>
          <w:rFonts w:hint="eastAsia" w:ascii="黑体" w:eastAsia="黑体"/>
          <w:sz w:val="32"/>
          <w:szCs w:val="32"/>
        </w:rPr>
        <w:t>说明</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按照综合预算的原则，</w:t>
      </w:r>
      <w:r>
        <w:rPr>
          <w:rFonts w:hint="eastAsia" w:ascii="仿宋_GB2312" w:eastAsia="仿宋_GB2312"/>
          <w:sz w:val="32"/>
          <w:szCs w:val="32"/>
          <w:lang w:val="en-US" w:eastAsia="zh-CN"/>
        </w:rPr>
        <w:t>本</w:t>
      </w:r>
      <w:r>
        <w:rPr>
          <w:rFonts w:hint="eastAsia" w:eastAsia="仿宋_GB2312"/>
          <w:sz w:val="32"/>
          <w:szCs w:val="32"/>
          <w:lang w:val="en-US" w:eastAsia="zh-CN"/>
        </w:rPr>
        <w:t>单位</w:t>
      </w:r>
      <w:r>
        <w:rPr>
          <w:rFonts w:hint="eastAsia" w:ascii="仿宋_GB2312" w:eastAsia="仿宋_GB2312"/>
          <w:sz w:val="32"/>
          <w:szCs w:val="32"/>
        </w:rPr>
        <w:t>所有收入和支出均纳入部门预算管理</w:t>
      </w:r>
      <w:r>
        <w:rPr>
          <w:rFonts w:hint="eastAsia" w:ascii="仿宋_GB2312" w:eastAsia="仿宋_GB2312"/>
          <w:sz w:val="32"/>
          <w:szCs w:val="32"/>
          <w:lang w:val="en-US" w:eastAsia="zh-CN"/>
        </w:rPr>
        <w:t>。</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b/>
          <w:bCs/>
          <w:sz w:val="32"/>
          <w:szCs w:val="32"/>
          <w:highlight w:val="none"/>
        </w:rPr>
      </w:pPr>
      <w:r>
        <w:rPr>
          <w:rFonts w:hint="eastAsia" w:ascii="仿宋_GB2312" w:eastAsia="仿宋_GB2312"/>
          <w:sz w:val="32"/>
          <w:szCs w:val="32"/>
          <w:highlight w:val="none"/>
          <w:lang w:val="en-US" w:eastAsia="zh-CN"/>
        </w:rPr>
        <w:t>收入预算：2023年收入预算</w:t>
      </w:r>
      <w:r>
        <w:rPr>
          <w:rFonts w:hint="eastAsia" w:eastAsia="仿宋_GB2312"/>
          <w:sz w:val="32"/>
          <w:szCs w:val="32"/>
          <w:highlight w:val="none"/>
          <w:lang w:val="en-US" w:eastAsia="zh-CN"/>
        </w:rPr>
        <w:t>135.72万元，其中</w:t>
      </w:r>
      <w:r>
        <w:rPr>
          <w:rFonts w:hint="eastAsia" w:ascii="仿宋_GB2312" w:eastAsia="仿宋_GB2312"/>
          <w:sz w:val="32"/>
          <w:szCs w:val="32"/>
          <w:highlight w:val="none"/>
        </w:rPr>
        <w:t>一般公共预算收入</w:t>
      </w:r>
      <w:r>
        <w:rPr>
          <w:rFonts w:hint="eastAsia" w:eastAsia="仿宋_GB2312"/>
          <w:sz w:val="32"/>
          <w:szCs w:val="32"/>
          <w:highlight w:val="none"/>
          <w:lang w:val="en-US" w:eastAsia="zh-CN"/>
        </w:rPr>
        <w:t>135.72万元</w:t>
      </w:r>
      <w:r>
        <w:rPr>
          <w:rFonts w:hint="eastAsia" w:ascii="仿宋_GB2312" w:eastAsia="仿宋_GB2312"/>
          <w:sz w:val="32"/>
          <w:szCs w:val="32"/>
          <w:highlight w:val="none"/>
        </w:rPr>
        <w:t>、政府性基金预算收入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、国有资本经营预算收入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、财政专户管理资金收入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、事业单位经营收入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、上级补助收入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、附属单位上缴收入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、其他收入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、使用非财政拨款结余</w:t>
      </w:r>
      <w:r>
        <w:rPr>
          <w:rFonts w:hint="eastAsia" w:eastAsia="仿宋_GB2312"/>
          <w:sz w:val="32"/>
          <w:szCs w:val="32"/>
          <w:highlight w:val="none"/>
          <w:lang w:val="en-US" w:eastAsia="zh-CN"/>
        </w:rPr>
        <w:t>0万元</w:t>
      </w:r>
      <w:r>
        <w:rPr>
          <w:rFonts w:hint="eastAsia" w:ascii="仿宋_GB2312" w:eastAsia="仿宋_GB2312"/>
          <w:sz w:val="32"/>
          <w:szCs w:val="32"/>
          <w:highlight w:val="none"/>
        </w:rPr>
        <w:t>、上年结转</w:t>
      </w:r>
      <w:r>
        <w:rPr>
          <w:rFonts w:hint="eastAsia" w:eastAsia="仿宋_GB2312"/>
          <w:sz w:val="32"/>
          <w:szCs w:val="32"/>
          <w:highlight w:val="none"/>
          <w:lang w:val="en-US" w:eastAsia="zh-CN"/>
        </w:rPr>
        <w:t>0万元。</w:t>
      </w:r>
    </w:p>
    <w:p>
      <w:pPr>
        <w:spacing w:line="600" w:lineRule="exact"/>
        <w:ind w:firstLine="420" w:firstLineChars="200"/>
        <w:rPr>
          <w:rFonts w:hint="eastAsia" w:ascii="仿宋_GB2312" w:eastAsia="仿宋_GB2312"/>
          <w:sz w:val="32"/>
          <w:szCs w:val="32"/>
          <w:lang w:val="en-US" w:eastAsia="zh-CN"/>
        </w:rPr>
      </w:pPr>
      <w:r>
        <w:rPr>
          <w:highlight w:val="none"/>
        </w:rPr>
        <w:drawing>
          <wp:anchor distT="0" distB="0" distL="114300" distR="114300" simplePos="0" relativeHeight="251660288" behindDoc="1" locked="0" layoutInCell="1" allowOverlap="1">
            <wp:simplePos x="0" y="0"/>
            <wp:positionH relativeFrom="column">
              <wp:posOffset>383540</wp:posOffset>
            </wp:positionH>
            <wp:positionV relativeFrom="paragraph">
              <wp:posOffset>328295</wp:posOffset>
            </wp:positionV>
            <wp:extent cx="4572000" cy="2743200"/>
            <wp:effectExtent l="4445" t="4445" r="14605" b="14605"/>
            <wp:wrapTight wrapText="bothSides">
              <wp:wrapPolygon>
                <wp:start x="-21" y="-35"/>
                <wp:lineTo x="-21" y="21565"/>
                <wp:lineTo x="21579" y="21565"/>
                <wp:lineTo x="21579" y="-35"/>
                <wp:lineTo x="-21" y="-35"/>
              </wp:wrapPolygon>
            </wp:wrapTight>
            <wp:docPr id="1"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textAlignment w:val="auto"/>
        <w:rPr>
          <w:rFonts w:hint="eastAsia" w:ascii="仿宋_GB2312" w:eastAsia="仿宋_GB2312"/>
          <w:b/>
          <w:bCs/>
          <w:sz w:val="32"/>
          <w:szCs w:val="32"/>
          <w:highlight w:val="yellow"/>
        </w:rPr>
      </w:pP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b/>
          <w:bCs/>
          <w:sz w:val="32"/>
          <w:szCs w:val="32"/>
          <w:highlight w:val="none"/>
        </w:rPr>
      </w:pPr>
      <w:r>
        <w:rPr>
          <w:rFonts w:hint="eastAsia" w:ascii="仿宋_GB2312" w:eastAsia="仿宋_GB2312"/>
          <w:sz w:val="32"/>
          <w:szCs w:val="32"/>
          <w:lang w:val="en-US" w:eastAsia="zh-CN"/>
        </w:rPr>
        <w:t>支出预算：2023年支出预算</w:t>
      </w:r>
      <w:r>
        <w:rPr>
          <w:rFonts w:hint="eastAsia" w:eastAsia="仿宋_GB2312"/>
          <w:sz w:val="32"/>
          <w:szCs w:val="32"/>
          <w:lang w:val="en-US" w:eastAsia="zh-CN"/>
        </w:rPr>
        <w:t>135.72万元，</w:t>
      </w:r>
      <w:r>
        <w:rPr>
          <w:rFonts w:hint="eastAsia" w:ascii="仿宋_GB2312" w:eastAsia="仿宋_GB2312"/>
          <w:sz w:val="32"/>
          <w:szCs w:val="32"/>
        </w:rPr>
        <w:t>其中基本支出</w:t>
      </w:r>
      <w:r>
        <w:rPr>
          <w:rFonts w:hint="eastAsia" w:ascii="仿宋_GB2312" w:eastAsia="仿宋_GB2312"/>
          <w:sz w:val="32"/>
          <w:szCs w:val="32"/>
          <w:lang w:val="en-US" w:eastAsia="zh-CN"/>
        </w:rPr>
        <w:t>85.72</w:t>
      </w:r>
      <w:r>
        <w:rPr>
          <w:rFonts w:hint="eastAsia" w:ascii="仿宋_GB2312" w:eastAsia="仿宋_GB2312"/>
          <w:sz w:val="32"/>
          <w:szCs w:val="32"/>
        </w:rPr>
        <w:t>万元，项目支出</w:t>
      </w:r>
      <w:r>
        <w:rPr>
          <w:rFonts w:hint="eastAsia" w:ascii="仿宋_GB2312" w:eastAsia="仿宋_GB2312"/>
          <w:sz w:val="32"/>
          <w:szCs w:val="32"/>
          <w:lang w:val="en-US" w:eastAsia="zh-CN"/>
        </w:rPr>
        <w:t>50</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sz w:val="32"/>
          <w:szCs w:val="32"/>
          <w:highlight w:val="none"/>
        </w:rPr>
        <w:t>上缴上级支出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万元，对附属单位补助支出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万元，事业单位经营支出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结转下年0</w:t>
      </w:r>
      <w:r>
        <w:rPr>
          <w:rFonts w:hint="eastAsia" w:ascii="仿宋_GB2312" w:eastAsia="仿宋_GB2312"/>
          <w:sz w:val="32"/>
          <w:szCs w:val="32"/>
          <w:highlight w:val="none"/>
        </w:rPr>
        <w:t>万元。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420" w:firstLineChars="200"/>
        <w:textAlignment w:val="auto"/>
        <w:rPr>
          <w:rFonts w:hint="eastAsia" w:ascii="仿宋_GB2312" w:eastAsia="仿宋_GB2312"/>
          <w:sz w:val="32"/>
          <w:szCs w:val="32"/>
        </w:rPr>
      </w:pPr>
      <w:r>
        <w:drawing>
          <wp:anchor distT="0" distB="0" distL="114300" distR="114300" simplePos="0" relativeHeight="251659264" behindDoc="0" locked="0" layoutInCell="1" allowOverlap="1">
            <wp:simplePos x="0" y="0"/>
            <wp:positionH relativeFrom="column">
              <wp:posOffset>452120</wp:posOffset>
            </wp:positionH>
            <wp:positionV relativeFrom="paragraph">
              <wp:posOffset>185420</wp:posOffset>
            </wp:positionV>
            <wp:extent cx="4572000" cy="2743200"/>
            <wp:effectExtent l="4445" t="4445" r="14605" b="14605"/>
            <wp:wrapSquare wrapText="bothSides"/>
            <wp:docPr id="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三</w:t>
      </w:r>
      <w:r>
        <w:rPr>
          <w:rFonts w:hint="eastAsia" w:ascii="仿宋_GB2312" w:eastAsia="仿宋_GB2312"/>
          <w:sz w:val="32"/>
          <w:szCs w:val="32"/>
          <w:lang w:eastAsia="zh-CN"/>
        </w:rPr>
        <w:t>）</w:t>
      </w:r>
      <w:r>
        <w:rPr>
          <w:rFonts w:hint="eastAsia" w:ascii="仿宋_GB2312" w:eastAsia="仿宋_GB2312"/>
          <w:sz w:val="32"/>
          <w:szCs w:val="32"/>
          <w:lang w:val="en-US" w:eastAsia="zh-CN"/>
        </w:rPr>
        <w:t>增减变化情况：2023年收支预算</w:t>
      </w:r>
      <w:r>
        <w:rPr>
          <w:rFonts w:hint="eastAsia" w:eastAsia="仿宋_GB2312"/>
          <w:sz w:val="32"/>
          <w:szCs w:val="32"/>
          <w:lang w:val="en-US" w:eastAsia="zh-CN"/>
        </w:rPr>
        <w:t>135.72万元，较上年预算减少</w:t>
      </w:r>
      <w:r>
        <w:rPr>
          <w:rFonts w:hint="eastAsia" w:ascii="仿宋_GB2312" w:eastAsia="仿宋_GB2312"/>
          <w:sz w:val="32"/>
          <w:szCs w:val="32"/>
          <w:lang w:val="en-US" w:eastAsia="zh-CN"/>
        </w:rPr>
        <w:t>1.93</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sz w:val="32"/>
          <w:szCs w:val="32"/>
          <w:lang w:val="en-US" w:eastAsia="zh-CN"/>
        </w:rPr>
        <w:t>其中：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1.收入预算</w:t>
      </w:r>
      <w:r>
        <w:rPr>
          <w:rFonts w:hint="eastAsia" w:eastAsia="仿宋_GB2312"/>
          <w:sz w:val="32"/>
          <w:szCs w:val="32"/>
          <w:highlight w:val="none"/>
          <w:lang w:val="en-US" w:eastAsia="zh-CN"/>
        </w:rPr>
        <w:t>减少1.93万元，其中</w:t>
      </w:r>
      <w:r>
        <w:rPr>
          <w:rFonts w:hint="eastAsia" w:ascii="仿宋_GB2312" w:eastAsia="仿宋_GB2312"/>
          <w:sz w:val="32"/>
          <w:szCs w:val="32"/>
          <w:highlight w:val="none"/>
        </w:rPr>
        <w:t>一般公共预算收入</w:t>
      </w:r>
      <w:r>
        <w:rPr>
          <w:rFonts w:hint="eastAsia" w:eastAsia="仿宋_GB2312"/>
          <w:sz w:val="32"/>
          <w:szCs w:val="32"/>
          <w:highlight w:val="none"/>
          <w:lang w:val="en-US" w:eastAsia="zh-CN"/>
        </w:rPr>
        <w:t>减少1.93万元</w:t>
      </w:r>
      <w:r>
        <w:rPr>
          <w:rFonts w:hint="eastAsia" w:ascii="仿宋_GB2312" w:eastAsia="仿宋_GB2312"/>
          <w:sz w:val="32"/>
          <w:szCs w:val="32"/>
          <w:highlight w:val="none"/>
        </w:rPr>
        <w:t>、政府性基金预算收入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、国有资本经营预算收入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、财政专户管理资金收入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、事业收入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、事业单位经营收入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、上级补助收入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、附属单位上缴收入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、其他收入</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、使用非财政拨款结余</w:t>
      </w:r>
      <w:r>
        <w:rPr>
          <w:rFonts w:hint="eastAsia" w:eastAsia="仿宋_GB2312"/>
          <w:sz w:val="32"/>
          <w:szCs w:val="32"/>
          <w:highlight w:val="none"/>
          <w:lang w:val="en-US" w:eastAsia="zh-CN"/>
        </w:rPr>
        <w:t>减少0万元</w:t>
      </w:r>
      <w:r>
        <w:rPr>
          <w:rFonts w:hint="eastAsia" w:ascii="仿宋_GB2312" w:eastAsia="仿宋_GB2312"/>
          <w:sz w:val="32"/>
          <w:szCs w:val="32"/>
          <w:highlight w:val="none"/>
        </w:rPr>
        <w:t>、上年结转</w:t>
      </w:r>
      <w:r>
        <w:rPr>
          <w:rFonts w:hint="eastAsia" w:eastAsia="仿宋_GB2312"/>
          <w:sz w:val="32"/>
          <w:szCs w:val="32"/>
          <w:highlight w:val="none"/>
          <w:lang w:val="en-US" w:eastAsia="zh-CN"/>
        </w:rPr>
        <w:t>减少0万元。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仿宋_GB2312"/>
          <w:sz w:val="32"/>
          <w:szCs w:val="32"/>
          <w:highlight w:val="none"/>
          <w:lang w:val="en-US" w:eastAsia="zh-CN"/>
        </w:rPr>
      </w:pPr>
      <w:r>
        <w:rPr>
          <w:rFonts w:hint="eastAsia" w:ascii="仿宋_GB2312" w:eastAsia="仿宋_GB2312"/>
          <w:sz w:val="32"/>
          <w:szCs w:val="32"/>
          <w:highlight w:val="none"/>
          <w:lang w:val="en-US" w:eastAsia="zh-CN"/>
        </w:rPr>
        <w:t>2.支出预算</w:t>
      </w:r>
      <w:r>
        <w:rPr>
          <w:rFonts w:hint="eastAsia" w:eastAsia="仿宋_GB2312"/>
          <w:sz w:val="32"/>
          <w:szCs w:val="32"/>
          <w:highlight w:val="none"/>
          <w:lang w:val="en-US" w:eastAsia="zh-CN"/>
        </w:rPr>
        <w:t>减少1.93万元，</w:t>
      </w:r>
      <w:r>
        <w:rPr>
          <w:rFonts w:hint="eastAsia" w:ascii="仿宋_GB2312" w:eastAsia="仿宋_GB2312"/>
          <w:sz w:val="32"/>
          <w:szCs w:val="32"/>
          <w:highlight w:val="none"/>
          <w:lang w:val="en-US" w:eastAsia="zh-CN"/>
        </w:rPr>
        <w:t>其中基本支出减少</w:t>
      </w:r>
      <w:r>
        <w:rPr>
          <w:rFonts w:hint="eastAsia" w:eastAsia="仿宋_GB2312"/>
          <w:sz w:val="32"/>
          <w:szCs w:val="32"/>
          <w:highlight w:val="none"/>
          <w:lang w:val="en-US" w:eastAsia="zh-CN"/>
        </w:rPr>
        <w:t>1.93万元；项目支出</w:t>
      </w:r>
      <w:r>
        <w:rPr>
          <w:rFonts w:hint="eastAsia" w:ascii="仿宋_GB2312" w:eastAsia="仿宋_GB2312"/>
          <w:sz w:val="32"/>
          <w:szCs w:val="32"/>
          <w:highlight w:val="none"/>
          <w:lang w:val="en-US" w:eastAsia="zh-CN"/>
        </w:rPr>
        <w:t>减少</w:t>
      </w:r>
      <w:r>
        <w:rPr>
          <w:rFonts w:hint="eastAsia" w:eastAsia="仿宋_GB2312"/>
          <w:sz w:val="32"/>
          <w:szCs w:val="32"/>
          <w:highlight w:val="none"/>
          <w:lang w:val="en-US" w:eastAsia="zh-CN"/>
        </w:rPr>
        <w:t>0万元；上缴上级支出</w:t>
      </w:r>
      <w:r>
        <w:rPr>
          <w:rFonts w:hint="eastAsia" w:ascii="仿宋_GB2312" w:eastAsia="仿宋_GB2312"/>
          <w:sz w:val="32"/>
          <w:szCs w:val="32"/>
          <w:highlight w:val="none"/>
          <w:lang w:val="en-US" w:eastAsia="zh-CN"/>
        </w:rPr>
        <w:t>减少</w:t>
      </w:r>
      <w:r>
        <w:rPr>
          <w:rFonts w:hint="eastAsia" w:eastAsia="仿宋_GB2312"/>
          <w:sz w:val="32"/>
          <w:szCs w:val="32"/>
          <w:highlight w:val="none"/>
          <w:lang w:val="en-US" w:eastAsia="zh-CN"/>
        </w:rPr>
        <w:t>0万元；</w:t>
      </w:r>
      <w:r>
        <w:rPr>
          <w:rFonts w:hint="eastAsia" w:ascii="仿宋_GB2312" w:eastAsia="仿宋_GB2312"/>
          <w:sz w:val="32"/>
          <w:szCs w:val="32"/>
          <w:highlight w:val="none"/>
        </w:rPr>
        <w:t>对附属单位补助支出</w:t>
      </w:r>
      <w:r>
        <w:rPr>
          <w:rFonts w:hint="eastAsia" w:ascii="仿宋_GB2312" w:eastAsia="仿宋_GB2312"/>
          <w:sz w:val="32"/>
          <w:szCs w:val="32"/>
          <w:highlight w:val="none"/>
          <w:lang w:val="en-US" w:eastAsia="zh-CN"/>
        </w:rPr>
        <w:t>减少</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事业单位经营支出</w:t>
      </w:r>
      <w:r>
        <w:rPr>
          <w:rFonts w:hint="eastAsia" w:ascii="仿宋_GB2312" w:eastAsia="仿宋_GB2312"/>
          <w:sz w:val="32"/>
          <w:szCs w:val="32"/>
          <w:highlight w:val="none"/>
          <w:lang w:val="en-US" w:eastAsia="zh-CN"/>
        </w:rPr>
        <w:t>减少</w:t>
      </w:r>
      <w:r>
        <w:rPr>
          <w:rFonts w:hint="eastAsia" w:eastAsia="仿宋_GB2312"/>
          <w:sz w:val="32"/>
          <w:szCs w:val="32"/>
          <w:highlight w:val="none"/>
          <w:lang w:val="en-US" w:eastAsia="zh-CN"/>
        </w:rPr>
        <w:t>0万元；</w:t>
      </w:r>
      <w:r>
        <w:rPr>
          <w:rFonts w:hint="eastAsia" w:ascii="仿宋_GB2312" w:eastAsia="仿宋_GB2312"/>
          <w:sz w:val="32"/>
          <w:szCs w:val="32"/>
          <w:highlight w:val="none"/>
          <w:lang w:val="en-US" w:eastAsia="zh-CN"/>
        </w:rPr>
        <w:t>结转下年减少</w:t>
      </w:r>
      <w:r>
        <w:rPr>
          <w:rFonts w:hint="eastAsia" w:eastAsia="仿宋_GB2312"/>
          <w:sz w:val="32"/>
          <w:szCs w:val="32"/>
          <w:highlight w:val="none"/>
          <w:lang w:val="en-US" w:eastAsia="zh-CN"/>
        </w:rPr>
        <w:t>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仿宋_GB2312"/>
          <w:sz w:val="32"/>
          <w:szCs w:val="32"/>
          <w:highlight w:val="none"/>
          <w:lang w:val="en-US" w:eastAsia="zh-CN"/>
        </w:rPr>
      </w:pPr>
      <w:r>
        <w:rPr>
          <w:rFonts w:hint="eastAsia" w:eastAsia="仿宋_GB2312"/>
          <w:sz w:val="32"/>
          <w:szCs w:val="32"/>
          <w:highlight w:val="none"/>
          <w:lang w:val="en-US" w:eastAsia="zh-CN"/>
        </w:rPr>
        <w:t>3.收支预算减少的主要原因：综合定额等公用经费按照相关规定有所压减。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黑体"/>
          <w:sz w:val="32"/>
          <w:szCs w:val="32"/>
          <w:lang w:val="en-US" w:eastAsia="zh-CN"/>
        </w:rPr>
      </w:pPr>
      <w:r>
        <w:rPr>
          <w:rFonts w:hint="eastAsia" w:ascii="黑体" w:eastAsia="黑体"/>
          <w:sz w:val="32"/>
          <w:szCs w:val="32"/>
          <w:lang w:val="en-US" w:eastAsia="zh-CN"/>
        </w:rPr>
        <w:t>二、</w:t>
      </w:r>
      <w:r>
        <w:rPr>
          <w:rFonts w:hint="eastAsia" w:ascii="黑体" w:eastAsia="黑体"/>
          <w:sz w:val="32"/>
          <w:szCs w:val="32"/>
        </w:rPr>
        <w:t>“三公”经费支出</w:t>
      </w:r>
      <w:r>
        <w:rPr>
          <w:rFonts w:hint="eastAsia" w:ascii="黑体" w:eastAsia="黑体"/>
          <w:sz w:val="32"/>
          <w:szCs w:val="32"/>
          <w:lang w:val="en-US" w:eastAsia="zh-CN"/>
        </w:rPr>
        <w:t>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仿宋_GB2312"/>
          <w:sz w:val="32"/>
          <w:szCs w:val="32"/>
          <w:highlight w:val="none"/>
          <w:lang w:eastAsia="zh-CN"/>
        </w:rPr>
      </w:pP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年通过一般公共预算财政拨款安排的</w:t>
      </w:r>
      <w:r>
        <w:rPr>
          <w:rFonts w:hint="eastAsia" w:eastAsia="仿宋_GB2312"/>
          <w:sz w:val="32"/>
          <w:szCs w:val="32"/>
          <w:highlight w:val="none"/>
        </w:rPr>
        <w:t>“三公”经费预算共</w:t>
      </w:r>
      <w:r>
        <w:rPr>
          <w:rFonts w:hint="eastAsia" w:ascii="仿宋_GB2312" w:eastAsia="仿宋_GB2312"/>
          <w:sz w:val="32"/>
          <w:szCs w:val="32"/>
          <w:highlight w:val="none"/>
          <w:lang w:val="en-US" w:eastAsia="zh-CN"/>
        </w:rPr>
        <w:t>0.5</w:t>
      </w:r>
      <w:r>
        <w:rPr>
          <w:rFonts w:hint="eastAsia" w:eastAsia="仿宋_GB2312"/>
          <w:sz w:val="32"/>
          <w:szCs w:val="32"/>
          <w:highlight w:val="none"/>
        </w:rPr>
        <w:t>万元，</w:t>
      </w:r>
      <w:r>
        <w:rPr>
          <w:rFonts w:hint="eastAsia" w:eastAsia="仿宋_GB2312"/>
          <w:sz w:val="32"/>
          <w:szCs w:val="32"/>
          <w:highlight w:val="none"/>
          <w:lang w:eastAsia="zh-CN"/>
        </w:rPr>
        <w:t>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rPr>
      </w:pPr>
      <w:r>
        <w:rPr>
          <w:rFonts w:hint="eastAsia" w:ascii="仿宋_GB2312" w:eastAsia="仿宋_GB2312"/>
          <w:sz w:val="32"/>
          <w:szCs w:val="32"/>
          <w:highlight w:val="none"/>
        </w:rPr>
        <w:t>其中：</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因公出国（境）费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rPr>
      </w:pP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公务用车购置及运行费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万元，包括公务用车购置费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万元，与上年持平；公务用车运行维护费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eastAsia="仿宋_GB2312"/>
          <w:sz w:val="32"/>
          <w:szCs w:val="32"/>
          <w:highlight w:val="none"/>
          <w:lang w:eastAsia="zh-CN"/>
        </w:rPr>
      </w:pP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公务接待费</w:t>
      </w:r>
      <w:r>
        <w:rPr>
          <w:rFonts w:hint="eastAsia" w:ascii="仿宋_GB2312" w:eastAsia="仿宋_GB2312"/>
          <w:sz w:val="32"/>
          <w:szCs w:val="32"/>
          <w:highlight w:val="none"/>
          <w:lang w:val="en-US" w:eastAsia="zh-CN"/>
        </w:rPr>
        <w:t>0.5</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lang w:val="en-US" w:eastAsia="zh-CN"/>
        </w:rPr>
      </w:pPr>
      <w:r>
        <w:rPr>
          <w:rFonts w:hint="eastAsia" w:ascii="黑体" w:eastAsia="黑体"/>
          <w:sz w:val="32"/>
          <w:szCs w:val="32"/>
          <w:lang w:val="en-US" w:eastAsia="zh-CN"/>
        </w:rPr>
        <w:t>三、机关运行经费情况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b/>
          <w:sz w:val="32"/>
          <w:szCs w:val="32"/>
          <w:highlight w:val="yellow"/>
        </w:rPr>
      </w:pPr>
      <w:r>
        <w:rPr>
          <w:rFonts w:hint="eastAsia" w:ascii="仿宋_GB2312" w:eastAsia="仿宋_GB2312"/>
          <w:sz w:val="32"/>
          <w:szCs w:val="32"/>
        </w:rPr>
        <w:t>机关运行经费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r>
        <w:rPr>
          <w:rFonts w:hint="eastAsia" w:ascii="仿宋_GB2312" w:eastAsia="仿宋_GB2312"/>
          <w:sz w:val="32"/>
          <w:szCs w:val="32"/>
          <w:lang w:val="en-US" w:eastAsia="zh-CN"/>
        </w:rPr>
        <w:t>2023年本单位机关运行经费安排8.40</w:t>
      </w:r>
      <w:r>
        <w:rPr>
          <w:rFonts w:hint="eastAsia" w:ascii="仿宋_GB2312" w:eastAsia="仿宋_GB2312"/>
          <w:sz w:val="32"/>
          <w:szCs w:val="32"/>
        </w:rPr>
        <w:t>万元。较</w:t>
      </w:r>
      <w:r>
        <w:rPr>
          <w:rFonts w:hint="eastAsia" w:ascii="仿宋_GB2312" w:eastAsia="仿宋_GB2312"/>
          <w:sz w:val="32"/>
          <w:szCs w:val="32"/>
          <w:lang w:eastAsia="zh-CN"/>
        </w:rPr>
        <w:t>2022</w:t>
      </w:r>
      <w:r>
        <w:rPr>
          <w:rFonts w:hint="eastAsia" w:ascii="仿宋_GB2312" w:eastAsia="仿宋_GB2312"/>
          <w:sz w:val="32"/>
          <w:szCs w:val="32"/>
        </w:rPr>
        <w:t>年预算减少</w:t>
      </w:r>
      <w:r>
        <w:rPr>
          <w:rFonts w:hint="eastAsia" w:ascii="仿宋_GB2312" w:eastAsia="仿宋_GB2312"/>
          <w:sz w:val="32"/>
          <w:szCs w:val="32"/>
          <w:lang w:val="en-US" w:eastAsia="zh-CN"/>
        </w:rPr>
        <w:t>2.88</w:t>
      </w:r>
      <w:r>
        <w:rPr>
          <w:rFonts w:hint="eastAsia" w:ascii="仿宋_GB2312" w:eastAsia="仿宋_GB2312"/>
          <w:sz w:val="32"/>
          <w:szCs w:val="32"/>
        </w:rPr>
        <w:t>万元，下降</w:t>
      </w:r>
      <w:r>
        <w:rPr>
          <w:rFonts w:hint="eastAsia" w:ascii="仿宋_GB2312" w:eastAsia="仿宋_GB2312"/>
          <w:sz w:val="32"/>
          <w:szCs w:val="32"/>
          <w:lang w:val="en-US" w:eastAsia="zh-CN"/>
        </w:rPr>
        <w:t>25.53</w:t>
      </w:r>
      <w:r>
        <w:rPr>
          <w:rFonts w:hint="eastAsia" w:ascii="仿宋_GB2312" w:eastAsia="仿宋_GB2312"/>
          <w:sz w:val="32"/>
          <w:szCs w:val="32"/>
        </w:rPr>
        <w:t>%。主要原因是：</w:t>
      </w:r>
      <w:r>
        <w:rPr>
          <w:rFonts w:hint="eastAsia" w:ascii="仿宋_GB2312" w:eastAsia="仿宋_GB2312"/>
          <w:sz w:val="32"/>
          <w:szCs w:val="32"/>
          <w:highlight w:val="none"/>
          <w:lang w:eastAsia="zh-CN"/>
        </w:rPr>
        <w:t>综合定额等公用经费按照相关规定予以压减。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eastAsia="黑体"/>
          <w:sz w:val="32"/>
          <w:szCs w:val="32"/>
          <w:lang w:val="en-US" w:eastAsia="zh-CN"/>
        </w:rPr>
      </w:pPr>
      <w:r>
        <w:rPr>
          <w:rFonts w:hint="eastAsia" w:ascii="黑体" w:eastAsia="黑体"/>
          <w:sz w:val="32"/>
          <w:szCs w:val="32"/>
          <w:lang w:val="en-US" w:eastAsia="zh-CN"/>
        </w:rPr>
        <w:t>四、政府采购情况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yellow"/>
          <w:lang w:eastAsia="zh-CN"/>
        </w:rPr>
      </w:pPr>
      <w:r>
        <w:rPr>
          <w:rFonts w:hint="eastAsia" w:ascii="仿宋_GB2312" w:eastAsia="仿宋_GB2312"/>
          <w:sz w:val="32"/>
          <w:szCs w:val="32"/>
          <w:lang w:eastAsia="zh-CN"/>
        </w:rPr>
        <w:t>2023</w:t>
      </w:r>
      <w:r>
        <w:rPr>
          <w:rFonts w:hint="eastAsia" w:ascii="仿宋_GB2312" w:eastAsia="仿宋_GB2312"/>
          <w:sz w:val="32"/>
          <w:szCs w:val="32"/>
        </w:rPr>
        <w:t>年政府采购预算</w:t>
      </w:r>
      <w:r>
        <w:rPr>
          <w:rFonts w:hint="eastAsia" w:ascii="仿宋_GB2312" w:eastAsia="仿宋_GB2312"/>
          <w:sz w:val="32"/>
          <w:szCs w:val="32"/>
          <w:lang w:val="en-US" w:eastAsia="zh-CN"/>
        </w:rPr>
        <w:t>0</w:t>
      </w:r>
      <w:r>
        <w:rPr>
          <w:rFonts w:hint="eastAsia" w:ascii="仿宋_GB2312" w:eastAsia="仿宋_GB2312"/>
          <w:sz w:val="32"/>
          <w:szCs w:val="32"/>
        </w:rPr>
        <w:t>万元，其中：政府采购货物预算</w:t>
      </w:r>
      <w:r>
        <w:rPr>
          <w:rFonts w:hint="eastAsia" w:ascii="仿宋_GB2312" w:eastAsia="仿宋_GB2312"/>
          <w:sz w:val="32"/>
          <w:szCs w:val="32"/>
          <w:lang w:val="en-US" w:eastAsia="zh-CN"/>
        </w:rPr>
        <w:t>0</w:t>
      </w:r>
      <w:r>
        <w:rPr>
          <w:rFonts w:hint="eastAsia" w:ascii="仿宋_GB2312" w:eastAsia="仿宋_GB2312"/>
          <w:sz w:val="32"/>
          <w:szCs w:val="32"/>
        </w:rPr>
        <w:t>万元，政府采购工程预算</w:t>
      </w:r>
      <w:r>
        <w:rPr>
          <w:rFonts w:hint="eastAsia" w:ascii="仿宋_GB2312" w:eastAsia="仿宋_GB2312"/>
          <w:sz w:val="32"/>
          <w:szCs w:val="32"/>
          <w:lang w:val="en-US" w:eastAsia="zh-CN"/>
        </w:rPr>
        <w:t>0</w:t>
      </w:r>
      <w:r>
        <w:rPr>
          <w:rFonts w:hint="eastAsia" w:ascii="仿宋_GB2312" w:eastAsia="仿宋_GB2312"/>
          <w:sz w:val="32"/>
          <w:szCs w:val="32"/>
        </w:rPr>
        <w:t>万元，政府采购服务预算</w:t>
      </w:r>
      <w:r>
        <w:rPr>
          <w:rFonts w:hint="eastAsia" w:ascii="仿宋_GB2312" w:eastAsia="仿宋_GB2312"/>
          <w:sz w:val="32"/>
          <w:szCs w:val="32"/>
          <w:lang w:val="en-US" w:eastAsia="zh-CN"/>
        </w:rPr>
        <w:t>0</w:t>
      </w:r>
      <w:r>
        <w:rPr>
          <w:rFonts w:hint="eastAsia" w:ascii="仿宋_GB2312" w:eastAsia="仿宋_GB2312"/>
          <w:sz w:val="32"/>
          <w:szCs w:val="32"/>
        </w:rPr>
        <w:t>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lang w:val="en-US" w:eastAsia="zh-CN"/>
        </w:rPr>
      </w:pPr>
      <w:r>
        <w:rPr>
          <w:rFonts w:hint="eastAsia" w:ascii="黑体" w:eastAsia="黑体"/>
          <w:sz w:val="32"/>
          <w:szCs w:val="32"/>
          <w:lang w:val="en-US" w:eastAsia="zh-CN"/>
        </w:rPr>
        <w:t>五、国有资产占有使用情况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截至</w:t>
      </w:r>
      <w:r>
        <w:rPr>
          <w:rFonts w:hint="eastAsia" w:ascii="仿宋_GB2312" w:eastAsia="仿宋_GB2312"/>
          <w:sz w:val="32"/>
          <w:szCs w:val="32"/>
          <w:highlight w:val="none"/>
          <w:lang w:eastAsia="zh-CN"/>
        </w:rPr>
        <w:t>2022</w:t>
      </w:r>
      <w:r>
        <w:rPr>
          <w:rFonts w:hint="eastAsia" w:ascii="仿宋_GB2312" w:eastAsia="仿宋_GB2312"/>
          <w:sz w:val="32"/>
          <w:szCs w:val="32"/>
          <w:highlight w:val="none"/>
        </w:rPr>
        <w:t>年12月31日，</w:t>
      </w:r>
      <w:r>
        <w:rPr>
          <w:rFonts w:hint="eastAsia" w:ascii="仿宋_GB2312" w:eastAsia="仿宋_GB2312"/>
          <w:sz w:val="32"/>
          <w:szCs w:val="32"/>
          <w:highlight w:val="none"/>
          <w:lang w:val="en-US" w:eastAsia="zh-CN"/>
        </w:rPr>
        <w:t>本单位</w:t>
      </w:r>
      <w:r>
        <w:rPr>
          <w:rFonts w:hint="eastAsia" w:ascii="仿宋_GB2312" w:eastAsia="仿宋_GB2312"/>
          <w:sz w:val="32"/>
          <w:szCs w:val="32"/>
          <w:highlight w:val="none"/>
        </w:rPr>
        <w:t>共有车辆</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w:t>
      </w:r>
      <w:r>
        <w:rPr>
          <w:rFonts w:hint="eastAsia" w:ascii="仿宋_GB2312" w:eastAsia="仿宋_GB2312"/>
          <w:sz w:val="32"/>
          <w:szCs w:val="32"/>
          <w:highlight w:val="none"/>
          <w:lang w:val="en-US" w:eastAsia="zh-CN"/>
        </w:rPr>
        <w:t>，其中机</w:t>
      </w:r>
      <w:r>
        <w:rPr>
          <w:rFonts w:hint="eastAsia" w:ascii="仿宋_GB2312" w:eastAsia="仿宋_GB2312"/>
          <w:sz w:val="32"/>
          <w:szCs w:val="32"/>
          <w:highlight w:val="none"/>
        </w:rPr>
        <w:t>要通信用车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辆、应急保障用车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w:t>
      </w:r>
      <w:r>
        <w:rPr>
          <w:rFonts w:hint="eastAsia" w:ascii="仿宋_GB2312" w:hAnsi="仿宋" w:eastAsia="仿宋_GB2312"/>
          <w:sz w:val="32"/>
          <w:szCs w:val="32"/>
          <w:highlight w:val="none"/>
        </w:rPr>
        <w:t>执法执勤用车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辆，特种专业技术用车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辆，其他</w:t>
      </w:r>
      <w:r>
        <w:rPr>
          <w:rFonts w:hint="eastAsia" w:ascii="仿宋_GB2312" w:eastAsia="仿宋_GB2312"/>
          <w:sz w:val="32"/>
          <w:szCs w:val="32"/>
          <w:highlight w:val="none"/>
          <w:lang w:val="en-US" w:eastAsia="zh-CN"/>
        </w:rPr>
        <w:t>按照规定配备的公务用车0</w:t>
      </w:r>
      <w:r>
        <w:rPr>
          <w:rFonts w:hint="eastAsia" w:ascii="仿宋_GB2312" w:eastAsia="仿宋_GB2312"/>
          <w:sz w:val="32"/>
          <w:szCs w:val="32"/>
          <w:highlight w:val="none"/>
        </w:rPr>
        <w:t>辆。</w:t>
      </w:r>
      <w:r>
        <w:rPr>
          <w:rFonts w:hint="eastAsia" w:ascii="仿宋_GB2312" w:eastAsia="仿宋_GB2312"/>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ascii="仿宋_GB2312" w:eastAsia="仿宋_GB2312"/>
          <w:sz w:val="32"/>
          <w:szCs w:val="32"/>
        </w:rPr>
      </w:pPr>
      <w:r>
        <w:rPr>
          <w:rFonts w:hint="eastAsia" w:ascii="仿宋_GB2312" w:eastAsia="仿宋_GB2312"/>
          <w:sz w:val="32"/>
          <w:szCs w:val="32"/>
        </w:rPr>
        <w:t>单位价值50万元以上通用设备</w:t>
      </w:r>
      <w:r>
        <w:rPr>
          <w:rFonts w:hint="eastAsia" w:ascii="仿宋_GB2312" w:eastAsia="仿宋_GB2312"/>
          <w:sz w:val="32"/>
          <w:szCs w:val="32"/>
          <w:lang w:val="en-US" w:eastAsia="zh-CN"/>
        </w:rPr>
        <w:t>0</w:t>
      </w:r>
      <w:r>
        <w:rPr>
          <w:rFonts w:hint="eastAsia" w:ascii="仿宋_GB2312" w:eastAsia="仿宋_GB2312"/>
          <w:sz w:val="32"/>
          <w:szCs w:val="32"/>
        </w:rPr>
        <w:t>台（件、套），单位价值100万元以上专用设备</w:t>
      </w:r>
      <w:r>
        <w:rPr>
          <w:rFonts w:hint="eastAsia" w:ascii="仿宋_GB2312" w:eastAsia="仿宋_GB2312"/>
          <w:sz w:val="32"/>
          <w:szCs w:val="32"/>
          <w:lang w:val="en-US" w:eastAsia="zh-CN"/>
        </w:rPr>
        <w:t>0</w:t>
      </w:r>
      <w:r>
        <w:rPr>
          <w:rFonts w:hint="eastAsia" w:ascii="仿宋_GB2312" w:eastAsia="仿宋_GB2312"/>
          <w:sz w:val="32"/>
          <w:szCs w:val="32"/>
        </w:rPr>
        <w:t>台（件、套）。</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lang w:eastAsia="zh-CN"/>
        </w:rPr>
      </w:pPr>
      <w:r>
        <w:rPr>
          <w:rFonts w:hint="eastAsia" w:ascii="仿宋_GB2312" w:eastAsia="仿宋_GB2312"/>
          <w:sz w:val="32"/>
          <w:szCs w:val="32"/>
          <w:lang w:eastAsia="zh-CN"/>
        </w:rPr>
        <w:t>2023</w:t>
      </w:r>
      <w:r>
        <w:rPr>
          <w:rFonts w:hint="eastAsia" w:ascii="仿宋_GB2312" w:eastAsia="仿宋_GB2312"/>
          <w:sz w:val="32"/>
          <w:szCs w:val="32"/>
        </w:rPr>
        <w:t>年预算未</w:t>
      </w:r>
      <w:r>
        <w:rPr>
          <w:rFonts w:hint="eastAsia" w:ascii="仿宋_GB2312" w:eastAsia="仿宋_GB2312"/>
          <w:sz w:val="32"/>
          <w:szCs w:val="32"/>
          <w:lang w:val="en-US" w:eastAsia="zh-CN"/>
        </w:rPr>
        <w:t>安排购置</w:t>
      </w:r>
      <w:r>
        <w:rPr>
          <w:rFonts w:hint="eastAsia" w:ascii="仿宋_GB2312" w:eastAsia="仿宋_GB2312"/>
          <w:sz w:val="32"/>
          <w:szCs w:val="32"/>
        </w:rPr>
        <w:t>单位价值50万元以上通用设备、</w:t>
      </w:r>
      <w:r>
        <w:rPr>
          <w:rFonts w:hint="eastAsia" w:ascii="仿宋_GB2312" w:eastAsia="仿宋_GB2312"/>
          <w:sz w:val="32"/>
          <w:szCs w:val="32"/>
          <w:lang w:eastAsia="zh-CN"/>
        </w:rPr>
        <w:t>2023</w:t>
      </w:r>
      <w:r>
        <w:rPr>
          <w:rFonts w:hint="eastAsia" w:ascii="仿宋_GB2312" w:eastAsia="仿宋_GB2312"/>
          <w:sz w:val="32"/>
          <w:szCs w:val="32"/>
        </w:rPr>
        <w:t>年预算未安排购置单位价值100万元以上专用设备</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lang w:val="en-US" w:eastAsia="zh-CN"/>
        </w:rPr>
      </w:pPr>
      <w:r>
        <w:rPr>
          <w:rFonts w:hint="eastAsia" w:ascii="黑体" w:eastAsia="黑体"/>
          <w:sz w:val="32"/>
          <w:szCs w:val="32"/>
          <w:lang w:val="en-US" w:eastAsia="zh-CN"/>
        </w:rPr>
        <w:t>六、绩效目标情况说明</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ascii="楷体_GB2312" w:eastAsia="楷体_GB2312"/>
          <w:sz w:val="32"/>
          <w:szCs w:val="32"/>
        </w:rPr>
      </w:pPr>
      <w:r>
        <w:rPr>
          <w:rFonts w:hint="eastAsia" w:ascii="楷体_GB2312" w:eastAsia="楷体_GB2312"/>
          <w:sz w:val="32"/>
          <w:szCs w:val="32"/>
        </w:rPr>
        <w:t>（</w:t>
      </w:r>
      <w:r>
        <w:rPr>
          <w:rFonts w:hint="eastAsia" w:ascii="楷体_GB2312" w:eastAsia="楷体_GB2312"/>
          <w:sz w:val="32"/>
          <w:szCs w:val="32"/>
          <w:lang w:val="en-US" w:eastAsia="zh-CN"/>
        </w:rPr>
        <w:t>一</w:t>
      </w:r>
      <w:r>
        <w:rPr>
          <w:rFonts w:hint="eastAsia" w:ascii="楷体_GB2312" w:eastAsia="楷体_GB2312"/>
          <w:sz w:val="32"/>
          <w:szCs w:val="32"/>
        </w:rPr>
        <w:t>）预算绩效管理情况</w:t>
      </w:r>
    </w:p>
    <w:p>
      <w:pPr>
        <w:spacing w:line="600" w:lineRule="exact"/>
        <w:ind w:left="200" w:firstLine="640"/>
        <w:rPr>
          <w:rFonts w:ascii="仿宋_GB2312" w:eastAsia="仿宋_GB2312"/>
          <w:sz w:val="32"/>
          <w:szCs w:val="32"/>
          <w:highlight w:val="none"/>
        </w:rPr>
      </w:pPr>
      <w:r>
        <w:rPr>
          <w:rFonts w:hint="eastAsia" w:ascii="仿宋_GB2312" w:eastAsia="仿宋_GB2312"/>
          <w:sz w:val="32"/>
          <w:szCs w:val="32"/>
          <w:lang w:eastAsia="zh-CN"/>
        </w:rPr>
        <w:t>威海市欧美同学会秘书处</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年项目支出全面实施绩效目标管理，涉及预算项目支出</w:t>
      </w:r>
      <w:r>
        <w:rPr>
          <w:rFonts w:hint="eastAsia" w:ascii="仿宋_GB2312" w:eastAsia="仿宋_GB2312"/>
          <w:sz w:val="32"/>
          <w:szCs w:val="32"/>
          <w:lang w:val="en-US" w:eastAsia="zh-CN"/>
        </w:rPr>
        <w:t>1</w:t>
      </w:r>
      <w:r>
        <w:rPr>
          <w:rFonts w:hint="eastAsia" w:ascii="仿宋_GB2312" w:eastAsia="仿宋_GB2312"/>
          <w:sz w:val="32"/>
          <w:szCs w:val="32"/>
        </w:rPr>
        <w:t>个，预算资金</w:t>
      </w:r>
      <w:r>
        <w:rPr>
          <w:rFonts w:hint="eastAsia" w:ascii="仿宋_GB2312" w:eastAsia="仿宋_GB2312"/>
          <w:sz w:val="32"/>
          <w:szCs w:val="32"/>
          <w:lang w:val="en-US" w:eastAsia="zh-CN"/>
        </w:rPr>
        <w:t>50</w:t>
      </w:r>
      <w:r>
        <w:rPr>
          <w:rFonts w:hint="eastAsia" w:ascii="仿宋_GB2312" w:eastAsia="仿宋_GB2312"/>
          <w:sz w:val="32"/>
          <w:szCs w:val="32"/>
        </w:rPr>
        <w:t>万元，其中财政拨款</w:t>
      </w:r>
      <w:r>
        <w:rPr>
          <w:rFonts w:hint="eastAsia" w:ascii="仿宋_GB2312" w:eastAsia="仿宋_GB2312"/>
          <w:sz w:val="32"/>
          <w:szCs w:val="32"/>
          <w:lang w:val="en-US" w:eastAsia="zh-CN"/>
        </w:rPr>
        <w:t>50</w:t>
      </w:r>
      <w:r>
        <w:rPr>
          <w:rFonts w:hint="eastAsia" w:ascii="仿宋_GB2312" w:eastAsia="仿宋_GB2312"/>
          <w:sz w:val="32"/>
          <w:szCs w:val="32"/>
        </w:rPr>
        <w:t>万元。拟对</w:t>
      </w:r>
      <w:r>
        <w:rPr>
          <w:rFonts w:hint="eastAsia" w:ascii="仿宋_GB2312" w:eastAsia="仿宋_GB2312"/>
          <w:sz w:val="32"/>
          <w:szCs w:val="32"/>
          <w:lang w:val="en-US" w:eastAsia="zh-CN"/>
        </w:rPr>
        <w:t>留学人员统战工作经费</w:t>
      </w:r>
      <w:r>
        <w:rPr>
          <w:rFonts w:hint="eastAsia" w:ascii="仿宋_GB2312" w:eastAsia="仿宋_GB2312"/>
          <w:sz w:val="32"/>
          <w:szCs w:val="32"/>
        </w:rPr>
        <w:t>等</w:t>
      </w:r>
      <w:r>
        <w:rPr>
          <w:rFonts w:hint="eastAsia" w:ascii="仿宋_GB2312" w:eastAsia="仿宋_GB2312"/>
          <w:sz w:val="32"/>
          <w:szCs w:val="32"/>
          <w:lang w:val="en-US" w:eastAsia="zh-CN"/>
        </w:rPr>
        <w:t>1</w:t>
      </w:r>
      <w:r>
        <w:rPr>
          <w:rFonts w:hint="eastAsia" w:ascii="仿宋_GB2312" w:eastAsia="仿宋_GB2312"/>
          <w:sz w:val="32"/>
          <w:szCs w:val="32"/>
        </w:rPr>
        <w:t>个项目开展重点绩效评价，涉及预算资金</w:t>
      </w:r>
      <w:r>
        <w:rPr>
          <w:rFonts w:hint="eastAsia" w:ascii="仿宋_GB2312" w:eastAsia="仿宋_GB2312"/>
          <w:sz w:val="32"/>
          <w:szCs w:val="32"/>
          <w:lang w:val="en-US" w:eastAsia="zh-CN"/>
        </w:rPr>
        <w:t>50</w:t>
      </w:r>
      <w:r>
        <w:rPr>
          <w:rFonts w:hint="eastAsia" w:ascii="仿宋_GB2312" w:eastAsia="仿宋_GB2312"/>
          <w:sz w:val="32"/>
          <w:szCs w:val="32"/>
        </w:rPr>
        <w:t>万元，其中财政拨款</w:t>
      </w:r>
      <w:r>
        <w:rPr>
          <w:rFonts w:hint="eastAsia" w:ascii="仿宋_GB2312" w:eastAsia="仿宋_GB2312"/>
          <w:sz w:val="32"/>
          <w:szCs w:val="32"/>
          <w:lang w:val="en-US" w:eastAsia="zh-CN"/>
        </w:rPr>
        <w:t>50</w:t>
      </w:r>
      <w:r>
        <w:rPr>
          <w:rFonts w:hint="eastAsia" w:ascii="仿宋_GB2312" w:eastAsia="仿宋_GB2312"/>
          <w:sz w:val="32"/>
          <w:szCs w:val="32"/>
        </w:rPr>
        <w:t>万元。根据以前年度绩效评价结果，</w:t>
      </w:r>
      <w:r>
        <w:rPr>
          <w:rFonts w:hint="eastAsia" w:ascii="仿宋_GB2312" w:eastAsia="仿宋_GB2312"/>
          <w:sz w:val="32"/>
          <w:szCs w:val="32"/>
          <w:highlight w:val="none"/>
        </w:rPr>
        <w:t>优化</w:t>
      </w:r>
      <w:r>
        <w:rPr>
          <w:rFonts w:hint="eastAsia" w:ascii="仿宋_GB2312" w:eastAsia="仿宋_GB2312"/>
          <w:sz w:val="32"/>
          <w:szCs w:val="32"/>
          <w:lang w:val="en-US" w:eastAsia="zh-CN"/>
        </w:rPr>
        <w:t>留学人员统战工作经费</w:t>
      </w:r>
      <w:r>
        <w:rPr>
          <w:rFonts w:hint="eastAsia" w:ascii="仿宋_GB2312" w:eastAsia="仿宋_GB2312"/>
          <w:sz w:val="32"/>
          <w:szCs w:val="32"/>
          <w:highlight w:val="none"/>
        </w:rPr>
        <w:t>等项目支出202</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年预算安排，进一步改进管理、完善政策。</w:t>
      </w:r>
    </w:p>
    <w:p>
      <w:pPr>
        <w:keepNext w:val="0"/>
        <w:keepLines w:val="0"/>
        <w:pageBreakBefore w:val="0"/>
        <w:widowControl w:val="0"/>
        <w:kinsoku/>
        <w:wordWrap/>
        <w:overflowPunct/>
        <w:topLinePunct w:val="0"/>
        <w:autoSpaceDE/>
        <w:autoSpaceDN/>
        <w:bidi w:val="0"/>
        <w:adjustRightInd/>
        <w:snapToGrid/>
        <w:spacing w:line="600" w:lineRule="exact"/>
        <w:ind w:left="200" w:firstLine="640"/>
        <w:textAlignment w:val="auto"/>
        <w:rPr>
          <w:rFonts w:hint="eastAsia" w:ascii="仿宋_GB2312" w:eastAsia="仿宋_GB2312"/>
          <w:sz w:val="32"/>
          <w:szCs w:val="32"/>
        </w:rPr>
      </w:pPr>
    </w:p>
    <w:p>
      <w:pPr>
        <w:pStyle w:val="12"/>
        <w:spacing w:line="580" w:lineRule="atLeast"/>
        <w:ind w:firstLine="640"/>
        <w:rPr>
          <w:rFonts w:ascii="仿宋_GB2312" w:eastAsia="仿宋_GB2312"/>
          <w:b/>
          <w:bCs/>
          <w:sz w:val="32"/>
          <w:szCs w:val="32"/>
        </w:rPr>
        <w:sectPr>
          <w:pgSz w:w="11906" w:h="16838"/>
          <w:pgMar w:top="1440" w:right="1803" w:bottom="1440" w:left="1803" w:header="851" w:footer="992" w:gutter="0"/>
          <w:cols w:space="0" w:num="1"/>
          <w:docGrid w:type="lines" w:linePitch="319" w:charSpace="0"/>
        </w:sectPr>
      </w:pPr>
      <w:r>
        <w:rPr>
          <w:rFonts w:ascii="仿宋_GB2312" w:eastAsia="仿宋_GB2312"/>
          <w:sz w:val="32"/>
          <w:szCs w:val="32"/>
        </w:rPr>
        <w:br w:type="page"/>
      </w:r>
    </w:p>
    <w:p>
      <w:pPr>
        <w:spacing w:line="600" w:lineRule="exact"/>
        <w:ind w:firstLine="600"/>
        <w:rPr>
          <w:rFonts w:ascii="楷体_GB2312" w:eastAsia="楷体_GB2312"/>
          <w:sz w:val="32"/>
          <w:szCs w:val="32"/>
        </w:rPr>
      </w:pPr>
      <w:r>
        <w:rPr>
          <w:rFonts w:hint="eastAsia" w:ascii="楷体_GB2312" w:eastAsia="楷体_GB2312"/>
          <w:sz w:val="32"/>
          <w:szCs w:val="32"/>
        </w:rPr>
        <w:t>（</w:t>
      </w:r>
      <w:r>
        <w:rPr>
          <w:rFonts w:hint="eastAsia" w:ascii="楷体_GB2312" w:eastAsia="楷体_GB2312"/>
          <w:sz w:val="32"/>
          <w:szCs w:val="32"/>
          <w:lang w:eastAsia="zh-CN"/>
        </w:rPr>
        <w:t>二</w:t>
      </w:r>
      <w:r>
        <w:rPr>
          <w:rFonts w:hint="eastAsia" w:ascii="楷体_GB2312" w:eastAsia="楷体_GB2312"/>
          <w:sz w:val="32"/>
          <w:szCs w:val="32"/>
        </w:rPr>
        <w:t>）</w:t>
      </w:r>
      <w:r>
        <w:rPr>
          <w:rFonts w:hint="eastAsia" w:ascii="楷体_GB2312" w:eastAsia="楷体_GB2312"/>
          <w:sz w:val="32"/>
          <w:szCs w:val="32"/>
          <w:lang w:eastAsia="zh-CN"/>
        </w:rPr>
        <w:t>单位</w:t>
      </w:r>
      <w:r>
        <w:rPr>
          <w:rFonts w:hint="eastAsia" w:ascii="楷体_GB2312" w:eastAsia="楷体_GB2312"/>
          <w:sz w:val="32"/>
          <w:szCs w:val="32"/>
        </w:rPr>
        <w:t>预算项目绩效目标表</w:t>
      </w:r>
    </w:p>
    <w:p>
      <w:pPr>
        <w:widowControl/>
        <w:spacing w:line="600" w:lineRule="exact"/>
        <w:ind w:firstLine="640"/>
        <w:rPr>
          <w:rFonts w:hint="eastAsia" w:ascii="仿宋_GB2312" w:eastAsia="仿宋_GB2312"/>
          <w:b/>
          <w:bCs/>
          <w:kern w:val="0"/>
          <w:sz w:val="32"/>
          <w:szCs w:val="32"/>
          <w:highlight w:val="yellow"/>
        </w:rPr>
      </w:pPr>
    </w:p>
    <w:tbl>
      <w:tblPr>
        <w:tblStyle w:val="8"/>
        <w:tblW w:w="865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0"/>
        <w:gridCol w:w="1270"/>
        <w:gridCol w:w="1446"/>
        <w:gridCol w:w="2053"/>
        <w:gridCol w:w="1455"/>
        <w:gridCol w:w="13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jc w:val="center"/>
        </w:trPr>
        <w:tc>
          <w:tcPr>
            <w:tcW w:w="8652" w:type="dxa"/>
            <w:gridSpan w:val="6"/>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cs="宋体"/>
                <w:i w:val="0"/>
                <w:iCs w:val="0"/>
                <w:color w:val="000000"/>
                <w:sz w:val="32"/>
                <w:szCs w:val="32"/>
                <w:u w:val="none"/>
                <w:lang w:eastAsia="zh-CN"/>
              </w:rPr>
              <w:t>项目支出绩效目标表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48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eastAsia="宋体" w:cs="宋体"/>
                <w:i w:val="0"/>
                <w:iCs w:val="0"/>
                <w:color w:val="000000"/>
                <w:kern w:val="0"/>
                <w:sz w:val="21"/>
                <w:szCs w:val="21"/>
                <w:u w:val="none"/>
                <w:lang w:val="en-US" w:eastAsia="zh-CN" w:bidi="ar"/>
              </w:rPr>
              <w:t>留学人员统战工作经费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cs="宋体"/>
                <w:i w:val="0"/>
                <w:iCs w:val="0"/>
                <w:color w:val="000000"/>
                <w:sz w:val="21"/>
                <w:szCs w:val="21"/>
                <w:u w:val="none"/>
                <w:lang w:eastAsia="zh-CN"/>
              </w:rPr>
              <w:t>中国共产党威海市委员会统一战线工作部</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cs="宋体"/>
                <w:i w:val="0"/>
                <w:iCs w:val="0"/>
                <w:color w:val="000000"/>
                <w:sz w:val="21"/>
                <w:szCs w:val="21"/>
                <w:u w:val="none"/>
                <w:lang w:eastAsia="zh-CN"/>
              </w:rPr>
              <w:t>威海市欧美同学会秘书处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（万元）</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年度预算资金总额：</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u w:val="none"/>
                <w:lang w:val="en-US" w:eastAsia="zh-CN"/>
              </w:rPr>
            </w:pPr>
            <w:r>
              <w:rPr>
                <w:rFonts w:hint="eastAsia" w:ascii="宋体" w:hAnsi="宋体" w:cs="宋体"/>
                <w:i w:val="0"/>
                <w:iCs w:val="0"/>
                <w:color w:val="000000"/>
                <w:sz w:val="21"/>
                <w:szCs w:val="21"/>
                <w:u w:val="none"/>
                <w:lang w:val="en-US" w:eastAsia="zh-CN"/>
              </w:rPr>
              <w:t>50万元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其中：财政拨款</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u w:val="none"/>
                <w:lang w:val="en-US" w:eastAsia="zh-CN"/>
              </w:rPr>
            </w:pPr>
            <w:r>
              <w:rPr>
                <w:rFonts w:hint="eastAsia" w:ascii="宋体" w:hAnsi="宋体" w:cs="宋体"/>
                <w:i w:val="0"/>
                <w:iCs w:val="0"/>
                <w:color w:val="000000"/>
                <w:sz w:val="21"/>
                <w:szCs w:val="21"/>
                <w:u w:val="none"/>
                <w:lang w:val="en-US" w:eastAsia="zh-CN"/>
              </w:rPr>
              <w:t>50万元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其他资金</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3" w:hRule="atLeast"/>
          <w:jc w:val="center"/>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年度总体绩效目标</w:t>
            </w:r>
          </w:p>
        </w:tc>
        <w:tc>
          <w:tcPr>
            <w:tcW w:w="757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top"/>
              <w:outlineLvl w:val="9"/>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sz w:val="20"/>
                <w:szCs w:val="20"/>
              </w:rPr>
              <w:t>贯彻落实党和政府关于留学人员工作的方针政策；弘扬留学报国的爱国主义精神，推动留学人员报国实践；团结联系留学人员和留学人员团体，开展科技、经济、文化等领域的交流与合作，促进友好往来；做好留学人员代表人士的发现、培养、使用和管理工作，维护会员的合法权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标</w:t>
            </w:r>
          </w:p>
        </w:tc>
        <w:tc>
          <w:tcPr>
            <w:tcW w:w="127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1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专款专用率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default" w:ascii="宋体" w:hAnsi="宋体" w:eastAsia="宋体" w:cs="宋体"/>
                <w:i w:val="0"/>
                <w:iCs w:val="0"/>
                <w:color w:val="000000"/>
                <w:sz w:val="21"/>
                <w:szCs w:val="21"/>
                <w:u w:val="none"/>
                <w:lang w:val="en-US" w:eastAsia="zh-CN"/>
              </w:rPr>
            </w:pPr>
            <w:r>
              <w:rPr>
                <w:rFonts w:hint="eastAsia" w:ascii="Arial" w:hAnsi="Arial" w:cs="Arial"/>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生态环境</w:t>
            </w:r>
          </w:p>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考察调研次数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会员调研率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Arial" w:hAnsi="Arial" w:cs="Arial"/>
                <w:kern w:val="0"/>
                <w:sz w:val="20"/>
                <w:szCs w:val="20"/>
                <w:lang w:val="en-US" w:eastAsia="zh-CN"/>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调研报告反馈及时率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eastAsia" w:ascii="Arial" w:hAnsi="Arial" w:cs="Arial"/>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经济效益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组织活动次数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可持续发展影响指标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健全长效管理机制</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lang w:eastAsia="zh-CN"/>
              </w:rPr>
            </w:pPr>
            <w:r>
              <w:rPr>
                <w:rFonts w:hint="eastAsia" w:ascii="Arial" w:hAnsi="Arial" w:cs="Arial"/>
                <w:kern w:val="0"/>
                <w:sz w:val="20"/>
                <w:szCs w:val="20"/>
                <w:lang w:eastAsia="zh-CN"/>
              </w:rPr>
              <w:t>健全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满意度指标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活动参与者满意度</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Arial" w:hAnsi="Arial" w:cs="Arial"/>
                <w:kern w:val="0"/>
                <w:sz w:val="20"/>
                <w:szCs w:val="20"/>
                <w:lang w:val="en-US" w:eastAsia="zh-CN"/>
              </w:rPr>
              <w:t>9</w:t>
            </w:r>
            <w:bookmarkStart w:id="3" w:name="_GoBack"/>
            <w:bookmarkEnd w:id="3"/>
            <w:r>
              <w:rPr>
                <w:rFonts w:hint="eastAsia" w:ascii="Arial" w:hAnsi="Arial" w:cs="Arial"/>
                <w:kern w:val="0"/>
                <w:sz w:val="20"/>
                <w:szCs w:val="20"/>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bl>
    <w:p>
      <w:pPr>
        <w:keepNext w:val="0"/>
        <w:keepLines w:val="0"/>
        <w:pageBreakBefore w:val="0"/>
        <w:widowControl/>
        <w:kinsoku/>
        <w:wordWrap/>
        <w:overflowPunct/>
        <w:topLinePunct w:val="0"/>
        <w:autoSpaceDE/>
        <w:autoSpaceDN/>
        <w:bidi w:val="0"/>
        <w:adjustRightInd/>
        <w:snapToGrid/>
        <w:spacing w:line="240" w:lineRule="atLeast"/>
        <w:jc w:val="left"/>
        <w:rPr>
          <w:rFonts w:ascii="仿宋_GB2312" w:eastAsia="仿宋_GB2312"/>
          <w:sz w:val="32"/>
          <w:szCs w:val="32"/>
        </w:rPr>
      </w:pPr>
      <w:r>
        <w:rPr>
          <w:rFonts w:ascii="仿宋_GB2312" w:eastAsia="仿宋_GB2312"/>
          <w:sz w:val="32"/>
          <w:szCs w:val="32"/>
        </w:rPr>
        <w:br w:type="page"/>
      </w:r>
    </w:p>
    <w:p>
      <w:pPr>
        <w:rPr>
          <w:rFonts w:ascii="黑体" w:eastAsia="黑体"/>
          <w:sz w:val="52"/>
          <w:szCs w:val="52"/>
        </w:rPr>
      </w:pPr>
      <w:r>
        <w:rPr>
          <w:rFonts w:hint="eastAsia" w:ascii="黑体" w:eastAsia="黑体"/>
          <w:sz w:val="52"/>
          <w:szCs w:val="52"/>
        </w:rPr>
        <w:t>第四部分</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r>
        <w:rPr>
          <w:rFonts w:hint="eastAsia" w:ascii="黑体" w:eastAsia="黑体"/>
          <w:sz w:val="52"/>
          <w:szCs w:val="52"/>
        </w:rPr>
        <w:t>名词解释</w:t>
      </w:r>
    </w:p>
    <w:p>
      <w:pPr>
        <w:rPr>
          <w:rFonts w:ascii="黑体" w:hAnsi="黑体" w:eastAsia="黑体"/>
          <w:sz w:val="32"/>
          <w:szCs w:val="32"/>
        </w:rPr>
      </w:pPr>
      <w:r>
        <w:rPr>
          <w:rFonts w:hint="eastAsia" w:ascii="黑体" w:hAnsi="黑体" w:eastAsia="黑体"/>
          <w:sz w:val="32"/>
          <w:szCs w:val="32"/>
        </w:rPr>
        <w:br w:type="page"/>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一、财政拨款收入：</w:t>
      </w:r>
      <w:r>
        <w:rPr>
          <w:rFonts w:hint="eastAsia" w:ascii="仿宋_GB2312" w:eastAsia="仿宋_GB2312"/>
          <w:sz w:val="32"/>
          <w:szCs w:val="32"/>
        </w:rPr>
        <w:t>指由</w:t>
      </w:r>
      <w:r>
        <w:rPr>
          <w:rFonts w:hint="eastAsia" w:ascii="仿宋_GB2312" w:eastAsia="仿宋_GB2312"/>
          <w:sz w:val="32"/>
          <w:szCs w:val="32"/>
          <w:lang w:eastAsia="zh-CN"/>
        </w:rPr>
        <w:t>市级</w:t>
      </w:r>
      <w:r>
        <w:rPr>
          <w:rFonts w:hint="eastAsia" w:ascii="仿宋_GB2312" w:eastAsia="仿宋_GB2312"/>
          <w:sz w:val="32"/>
          <w:szCs w:val="32"/>
        </w:rPr>
        <w:t>财政拨款形成的部门收入</w:t>
      </w:r>
      <w:r>
        <w:rPr>
          <w:rFonts w:hint="eastAsia" w:ascii="仿宋_GB2312" w:eastAsia="仿宋_GB2312"/>
          <w:sz w:val="32"/>
          <w:szCs w:val="32"/>
          <w:lang w:eastAsia="zh-CN"/>
        </w:rPr>
        <w:t>，</w:t>
      </w:r>
      <w:r>
        <w:rPr>
          <w:rFonts w:hint="eastAsia" w:ascii="仿宋_GB2312" w:eastAsia="仿宋_GB2312"/>
          <w:sz w:val="32"/>
          <w:szCs w:val="32"/>
        </w:rPr>
        <w:t>包括一般公共预算拨款</w:t>
      </w:r>
      <w:r>
        <w:rPr>
          <w:rFonts w:hint="eastAsia" w:ascii="仿宋_GB2312" w:eastAsia="仿宋_GB2312"/>
          <w:sz w:val="32"/>
          <w:szCs w:val="32"/>
          <w:lang w:val="en-US" w:eastAsia="zh-CN"/>
        </w:rPr>
        <w:t>收入</w:t>
      </w:r>
      <w:r>
        <w:rPr>
          <w:rFonts w:hint="eastAsia" w:ascii="仿宋_GB2312" w:eastAsia="仿宋_GB2312"/>
          <w:sz w:val="32"/>
          <w:szCs w:val="32"/>
        </w:rPr>
        <w:t>、政府性基金预算拨款</w:t>
      </w:r>
      <w:r>
        <w:rPr>
          <w:rFonts w:hint="eastAsia" w:ascii="仿宋_GB2312" w:eastAsia="仿宋_GB2312"/>
          <w:sz w:val="32"/>
          <w:szCs w:val="32"/>
          <w:lang w:val="en-US" w:eastAsia="zh-CN"/>
        </w:rPr>
        <w:t>收入</w:t>
      </w:r>
      <w:r>
        <w:rPr>
          <w:rFonts w:hint="eastAsia" w:ascii="仿宋_GB2312" w:eastAsia="仿宋_GB2312"/>
          <w:sz w:val="32"/>
          <w:szCs w:val="32"/>
        </w:rPr>
        <w:t>和国有资本经营预算拨款</w:t>
      </w:r>
      <w:r>
        <w:rPr>
          <w:rFonts w:hint="eastAsia" w:ascii="仿宋_GB2312" w:eastAsia="仿宋_GB2312"/>
          <w:sz w:val="32"/>
          <w:szCs w:val="32"/>
          <w:lang w:val="en-US" w:eastAsia="zh-CN"/>
        </w:rPr>
        <w:t>收入</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二、财政专户管理资金</w:t>
      </w:r>
      <w:r>
        <w:rPr>
          <w:rFonts w:hint="eastAsia" w:ascii="仿宋_GB2312" w:eastAsia="仿宋_GB2312"/>
          <w:sz w:val="32"/>
          <w:szCs w:val="32"/>
        </w:rPr>
        <w:t>：指缴入财政专户、实行专项管理的高中以上学费、住宿费、高校委托培养费、函大、电大、夜大及短训班培训费等教育收费。</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rPr>
      </w:pPr>
      <w:r>
        <w:rPr>
          <w:rFonts w:hint="eastAsia" w:ascii="黑体" w:hAnsi="黑体" w:eastAsia="黑体"/>
          <w:sz w:val="32"/>
          <w:szCs w:val="32"/>
        </w:rPr>
        <w:t>三、事业收入：</w:t>
      </w:r>
      <w:r>
        <w:rPr>
          <w:rFonts w:hint="eastAsia" w:ascii="仿宋_GB2312" w:eastAsia="仿宋_GB2312"/>
          <w:sz w:val="32"/>
          <w:szCs w:val="32"/>
        </w:rPr>
        <w:t>指事业单位开展专业业务活动及辅助活动所取得的收入，不含纳入财政专户管理的教育收费。</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rPr>
      </w:pPr>
      <w:r>
        <w:rPr>
          <w:rFonts w:hint="eastAsia" w:ascii="黑体" w:hAnsi="黑体" w:eastAsia="黑体"/>
          <w:sz w:val="32"/>
          <w:szCs w:val="32"/>
        </w:rPr>
        <w:t>四、事业单位经营收入：</w:t>
      </w:r>
      <w:r>
        <w:rPr>
          <w:rFonts w:hint="eastAsia" w:ascii="仿宋_GB2312" w:eastAsia="仿宋_GB2312"/>
          <w:sz w:val="32"/>
          <w:szCs w:val="32"/>
        </w:rPr>
        <w:t>指事业单位在专业业务活动及其辅助活动之外开展非独立核算经营活动取得的收入。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default" w:ascii="仿宋_GB2312" w:eastAsia="仿宋_GB2312"/>
          <w:sz w:val="32"/>
          <w:szCs w:val="32"/>
          <w:lang w:val="en-US" w:eastAsia="zh-CN"/>
        </w:rPr>
      </w:pPr>
      <w:r>
        <w:rPr>
          <w:rFonts w:hint="eastAsia" w:ascii="黑体" w:hAnsi="黑体" w:eastAsia="黑体"/>
          <w:sz w:val="32"/>
          <w:szCs w:val="32"/>
        </w:rPr>
        <w:t>五、其他收入：</w:t>
      </w:r>
      <w:r>
        <w:rPr>
          <w:rFonts w:hint="eastAsia" w:ascii="仿宋_GB2312" w:eastAsia="仿宋_GB2312"/>
          <w:sz w:val="32"/>
          <w:szCs w:val="32"/>
        </w:rPr>
        <w:t>指除“财政拨款收入”</w:t>
      </w:r>
      <w:r>
        <w:rPr>
          <w:rFonts w:hint="eastAsia" w:ascii="仿宋_GB2312" w:eastAsia="仿宋_GB2312"/>
          <w:sz w:val="32"/>
          <w:szCs w:val="32"/>
          <w:lang w:eastAsia="zh-CN"/>
        </w:rPr>
        <w:t>“</w:t>
      </w:r>
      <w:r>
        <w:rPr>
          <w:rFonts w:hint="eastAsia" w:ascii="仿宋_GB2312" w:eastAsia="仿宋_GB2312"/>
          <w:sz w:val="32"/>
          <w:szCs w:val="32"/>
        </w:rPr>
        <w:t>财政专户管理资金</w:t>
      </w:r>
      <w:r>
        <w:rPr>
          <w:rFonts w:hint="eastAsia" w:ascii="仿宋_GB2312" w:eastAsia="仿宋_GB2312"/>
          <w:sz w:val="32"/>
          <w:szCs w:val="32"/>
          <w:lang w:eastAsia="zh-CN"/>
        </w:rPr>
        <w:t>”</w:t>
      </w:r>
      <w:r>
        <w:rPr>
          <w:rFonts w:hint="eastAsia" w:ascii="仿宋_GB2312" w:eastAsia="仿宋_GB2312"/>
          <w:sz w:val="32"/>
          <w:szCs w:val="32"/>
        </w:rPr>
        <w:t>“事业收入”“事业单位经营收入”</w:t>
      </w:r>
      <w:r>
        <w:rPr>
          <w:rFonts w:hint="eastAsia" w:ascii="仿宋_GB2312" w:eastAsia="仿宋_GB2312"/>
          <w:sz w:val="32"/>
          <w:szCs w:val="32"/>
          <w:lang w:eastAsia="zh-CN"/>
        </w:rPr>
        <w:t>“</w:t>
      </w:r>
      <w:r>
        <w:rPr>
          <w:rFonts w:hint="eastAsia" w:ascii="仿宋_GB2312" w:eastAsia="仿宋_GB2312"/>
          <w:sz w:val="32"/>
          <w:szCs w:val="32"/>
        </w:rPr>
        <w:t>上级补助收入</w:t>
      </w:r>
      <w:r>
        <w:rPr>
          <w:rFonts w:hint="eastAsia" w:ascii="仿宋_GB2312" w:eastAsia="仿宋_GB2312"/>
          <w:sz w:val="32"/>
          <w:szCs w:val="32"/>
          <w:lang w:eastAsia="zh-CN"/>
        </w:rPr>
        <w:t>”“</w:t>
      </w:r>
      <w:r>
        <w:rPr>
          <w:rFonts w:hint="eastAsia" w:ascii="仿宋_GB2312" w:eastAsia="仿宋_GB2312"/>
          <w:sz w:val="32"/>
          <w:szCs w:val="32"/>
        </w:rPr>
        <w:t>附属单位上缴收入</w:t>
      </w:r>
      <w:r>
        <w:rPr>
          <w:rFonts w:hint="eastAsia" w:ascii="仿宋_GB2312" w:eastAsia="仿宋_GB2312"/>
          <w:sz w:val="32"/>
          <w:szCs w:val="32"/>
          <w:lang w:eastAsia="zh-CN"/>
        </w:rPr>
        <w:t>”</w:t>
      </w:r>
      <w:r>
        <w:rPr>
          <w:rFonts w:hint="eastAsia" w:ascii="仿宋_GB2312" w:eastAsia="仿宋_GB2312"/>
          <w:sz w:val="32"/>
          <w:szCs w:val="32"/>
        </w:rPr>
        <w:t>等以外的收入。</w:t>
      </w:r>
      <w:r>
        <w:rPr>
          <w:rFonts w:hint="eastAsia" w:ascii="仿宋_GB2312" w:eastAsia="仿宋_GB2312"/>
          <w:sz w:val="32"/>
          <w:szCs w:val="32"/>
          <w:lang w:val="en-US" w:eastAsia="zh-CN"/>
        </w:rPr>
        <w:t>主要包括利息存款收入、事业单位固定资产出租收入等。</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六、上级补助收入：</w:t>
      </w:r>
      <w:r>
        <w:rPr>
          <w:rFonts w:hint="eastAsia" w:ascii="仿宋_GB2312" w:eastAsia="仿宋_GB2312"/>
          <w:sz w:val="32"/>
          <w:szCs w:val="32"/>
        </w:rPr>
        <w:t>指单位从主管部门和上级单位取得的非财政补助收入。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七、附属单位上缴收入：</w:t>
      </w:r>
      <w:r>
        <w:rPr>
          <w:rFonts w:hint="eastAsia" w:ascii="仿宋_GB2312" w:eastAsia="仿宋_GB2312"/>
          <w:sz w:val="32"/>
          <w:szCs w:val="32"/>
        </w:rPr>
        <w:t>指本</w:t>
      </w:r>
      <w:r>
        <w:rPr>
          <w:rFonts w:hint="eastAsia" w:ascii="仿宋_GB2312" w:eastAsia="仿宋_GB2312"/>
          <w:sz w:val="32"/>
          <w:szCs w:val="32"/>
          <w:lang w:val="en-US" w:eastAsia="zh-CN"/>
        </w:rPr>
        <w:t>单位</w:t>
      </w:r>
      <w:r>
        <w:rPr>
          <w:rFonts w:hint="eastAsia" w:ascii="仿宋_GB2312" w:eastAsia="仿宋_GB2312"/>
          <w:sz w:val="32"/>
          <w:szCs w:val="32"/>
        </w:rPr>
        <w:t>所属纳入部门预算编报范围的单位按有关规定上缴的收入。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八、使用非财政拨款结余：</w:t>
      </w:r>
      <w:r>
        <w:rPr>
          <w:rFonts w:hint="eastAsia" w:ascii="仿宋_GB2312" w:eastAsia="仿宋_GB2312"/>
          <w:sz w:val="32"/>
          <w:szCs w:val="32"/>
        </w:rPr>
        <w:t>指本</w:t>
      </w:r>
      <w:r>
        <w:rPr>
          <w:rFonts w:hint="eastAsia" w:ascii="仿宋_GB2312" w:eastAsia="仿宋_GB2312"/>
          <w:sz w:val="32"/>
          <w:szCs w:val="32"/>
          <w:lang w:val="en-US" w:eastAsia="zh-CN"/>
        </w:rPr>
        <w:t>单位</w:t>
      </w:r>
      <w:r>
        <w:rPr>
          <w:rFonts w:hint="eastAsia" w:ascii="仿宋_GB2312" w:eastAsia="仿宋_GB2312"/>
          <w:sz w:val="32"/>
          <w:szCs w:val="32"/>
        </w:rPr>
        <w:t>在预计用当年的“财政拨款收入”“财政专户管理资金收入”“事业收入”“事业单位经营收入”</w:t>
      </w:r>
      <w:r>
        <w:rPr>
          <w:rFonts w:hint="eastAsia" w:ascii="仿宋_GB2312" w:eastAsia="仿宋_GB2312"/>
          <w:sz w:val="32"/>
          <w:szCs w:val="32"/>
          <w:lang w:eastAsia="zh-CN"/>
        </w:rPr>
        <w:t>“</w:t>
      </w:r>
      <w:r>
        <w:rPr>
          <w:rFonts w:hint="eastAsia" w:ascii="仿宋_GB2312" w:eastAsia="仿宋_GB2312"/>
          <w:sz w:val="32"/>
          <w:szCs w:val="32"/>
        </w:rPr>
        <w:t>上级补助收入</w:t>
      </w:r>
      <w:r>
        <w:rPr>
          <w:rFonts w:hint="eastAsia" w:ascii="仿宋_GB2312" w:eastAsia="仿宋_GB2312"/>
          <w:sz w:val="32"/>
          <w:szCs w:val="32"/>
          <w:lang w:eastAsia="zh-CN"/>
        </w:rPr>
        <w:t>”“</w:t>
      </w:r>
      <w:r>
        <w:rPr>
          <w:rFonts w:hint="eastAsia" w:ascii="仿宋_GB2312" w:eastAsia="仿宋_GB2312"/>
          <w:sz w:val="32"/>
          <w:szCs w:val="32"/>
        </w:rPr>
        <w:t>附属单位上缴收入</w:t>
      </w:r>
      <w:r>
        <w:rPr>
          <w:rFonts w:hint="eastAsia" w:ascii="仿宋_GB2312" w:eastAsia="仿宋_GB2312"/>
          <w:sz w:val="32"/>
          <w:szCs w:val="32"/>
          <w:lang w:eastAsia="zh-CN"/>
        </w:rPr>
        <w:t>”</w:t>
      </w:r>
      <w:r>
        <w:rPr>
          <w:rFonts w:hint="eastAsia" w:ascii="仿宋_GB2312" w:eastAsia="仿宋_GB2312"/>
          <w:sz w:val="32"/>
          <w:szCs w:val="32"/>
        </w:rPr>
        <w:t>“其他收入”等不足以安排当年支出的情况下，使用以前年度积累结余弥补本年度收支缺口的资金。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九、上年结转：</w:t>
      </w:r>
      <w:r>
        <w:rPr>
          <w:rFonts w:hint="eastAsia" w:ascii="仿宋_GB2312" w:eastAsia="仿宋_GB2312"/>
          <w:sz w:val="32"/>
          <w:szCs w:val="32"/>
        </w:rPr>
        <w:t>指以前年度尚未完成、结转到本年仍按原规定用途继续使用的资金。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十、基本支出：</w:t>
      </w:r>
      <w:r>
        <w:rPr>
          <w:rFonts w:hint="eastAsia" w:ascii="仿宋_GB2312" w:eastAsia="仿宋_GB2312"/>
          <w:sz w:val="32"/>
          <w:szCs w:val="32"/>
        </w:rPr>
        <w:t>指为保障机构正常运转、完成日常工作任务而发生的人员支出和日常公用支出。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十一、项目支出：</w:t>
      </w:r>
      <w:r>
        <w:rPr>
          <w:rFonts w:hint="eastAsia" w:ascii="仿宋_GB2312" w:eastAsia="仿宋_GB2312"/>
          <w:sz w:val="32"/>
          <w:szCs w:val="32"/>
        </w:rPr>
        <w:t>指在基本支出之外为完成特定任务和事业发展目标所发生的支出。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黑体" w:hAnsi="黑体" w:eastAsia="黑体"/>
          <w:sz w:val="32"/>
          <w:szCs w:val="32"/>
        </w:rPr>
      </w:pPr>
      <w:r>
        <w:rPr>
          <w:rFonts w:hint="eastAsia" w:ascii="黑体" w:hAnsi="黑体" w:eastAsia="黑体"/>
          <w:sz w:val="32"/>
          <w:szCs w:val="32"/>
        </w:rPr>
        <w:t>十二、上缴上级支出：</w:t>
      </w:r>
      <w:r>
        <w:rPr>
          <w:rFonts w:hint="eastAsia" w:ascii="仿宋_GB2312" w:eastAsia="仿宋_GB2312"/>
          <w:sz w:val="32"/>
          <w:szCs w:val="32"/>
        </w:rPr>
        <w:t>指下级单位上缴上级的支出。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十三、事业单位经营支出：</w:t>
      </w:r>
      <w:r>
        <w:rPr>
          <w:rFonts w:hint="eastAsia" w:ascii="仿宋_GB2312" w:eastAsia="仿宋_GB2312"/>
          <w:sz w:val="32"/>
          <w:szCs w:val="32"/>
        </w:rPr>
        <w:t>指事业单位在专业业务活动及其辅助活动之外开展非独立核算经营活动发生的支出。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十四、对下级单位补助支出：</w:t>
      </w:r>
      <w:r>
        <w:rPr>
          <w:rFonts w:hint="eastAsia" w:ascii="仿宋_GB2312" w:eastAsia="仿宋_GB2312"/>
          <w:sz w:val="32"/>
          <w:szCs w:val="32"/>
        </w:rPr>
        <w:t>指对下级单位补助发生的支出。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十五、结转下年</w:t>
      </w:r>
      <w:r>
        <w:rPr>
          <w:rFonts w:hint="eastAsia" w:ascii="仿宋_GB2312" w:eastAsia="仿宋_GB2312"/>
          <w:sz w:val="32"/>
          <w:szCs w:val="32"/>
        </w:rPr>
        <w:t>：指以前年度预算安排、因客观条件发生变化无法按原计划实施，需延迟到以后年度按原规定用途继续使用的资金。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rPr>
      </w:pPr>
      <w:r>
        <w:rPr>
          <w:rFonts w:hint="eastAsia" w:ascii="黑体" w:hAnsi="黑体" w:eastAsia="黑体"/>
          <w:sz w:val="32"/>
          <w:szCs w:val="32"/>
        </w:rPr>
        <w:t>十六、“三公”经费：</w:t>
      </w:r>
      <w:r>
        <w:rPr>
          <w:rFonts w:hint="eastAsia" w:ascii="仿宋_GB2312" w:eastAsia="仿宋_GB2312"/>
          <w:sz w:val="32"/>
          <w:szCs w:val="32"/>
        </w:rPr>
        <w:t>指</w:t>
      </w:r>
      <w:r>
        <w:rPr>
          <w:rFonts w:hint="eastAsia" w:ascii="仿宋_GB2312" w:eastAsia="仿宋_GB2312"/>
          <w:sz w:val="32"/>
          <w:szCs w:val="32"/>
          <w:lang w:eastAsia="zh-CN"/>
        </w:rPr>
        <w:t>市级</w:t>
      </w:r>
      <w:r>
        <w:rPr>
          <w:rFonts w:hint="eastAsia" w:ascii="仿宋_GB2312" w:eastAsia="仿宋_GB2312"/>
          <w:sz w:val="32"/>
          <w:szCs w:val="32"/>
        </w:rPr>
        <w:t>部门</w:t>
      </w:r>
      <w:r>
        <w:rPr>
          <w:rFonts w:hint="eastAsia" w:ascii="仿宋_GB2312" w:eastAsia="仿宋_GB2312"/>
          <w:sz w:val="32"/>
          <w:szCs w:val="32"/>
          <w:lang w:val="en-US" w:eastAsia="zh-CN"/>
        </w:rPr>
        <w:t>单位</w:t>
      </w:r>
      <w:r>
        <w:rPr>
          <w:rFonts w:hint="eastAsia" w:ascii="仿宋_GB2312" w:eastAsia="仿宋_GB2312"/>
          <w:sz w:val="32"/>
          <w:szCs w:val="32"/>
        </w:rPr>
        <w:t>安排的因公出国（境）费、公务用车购置及运行费和公务接待费。其中，因公出国（境）费反映单位公务出国（境）的国际差旅费、国外城市间交通费、住宿费、伙食费、培训费、公杂费等支出；公务用车购置及运行费反映单位公务用车车辆购置支出（含车辆购置税）及燃料费、维修费、过路过桥费、保险费、安全奖励费用等支出；公务接待费反映单位按规定开支的各类接待（含外宾接待）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rPr>
      </w:pPr>
      <w:r>
        <w:rPr>
          <w:rFonts w:hint="eastAsia" w:ascii="黑体" w:hAnsi="黑体" w:eastAsia="黑体"/>
          <w:sz w:val="32"/>
          <w:szCs w:val="32"/>
        </w:rPr>
        <w:t>十七、机关运行经费：</w:t>
      </w:r>
      <w:r>
        <w:rPr>
          <w:rFonts w:hint="eastAsia" w:ascii="仿宋_GB2312" w:eastAsia="仿宋_GB2312"/>
          <w:sz w:val="3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80" w:lineRule="exact"/>
        <w:ind w:firstLine="600"/>
        <w:rPr>
          <w:rFonts w:hint="eastAsia" w:ascii="仿宋" w:hAnsi="仿宋" w:eastAsia="仿宋"/>
          <w:sz w:val="32"/>
          <w:szCs w:val="32"/>
        </w:rPr>
      </w:pPr>
      <w:r>
        <w:rPr>
          <w:rFonts w:hint="eastAsia" w:ascii="黑体" w:hAnsi="黑体" w:eastAsia="黑体" w:cs="黑体"/>
          <w:sz w:val="32"/>
          <w:szCs w:val="32"/>
          <w:lang w:eastAsia="zh-CN"/>
        </w:rPr>
        <w:t>十八、</w:t>
      </w:r>
      <w:r>
        <w:rPr>
          <w:rFonts w:hint="eastAsia" w:ascii="黑体" w:hAnsi="黑体" w:eastAsia="黑体"/>
          <w:sz w:val="32"/>
          <w:szCs w:val="32"/>
        </w:rPr>
        <w:t>一般公共服务（类）统战事务（款）行政运行（项）：</w:t>
      </w:r>
      <w:r>
        <w:rPr>
          <w:rFonts w:hint="eastAsia" w:ascii="仿宋" w:hAnsi="仿宋" w:eastAsia="仿宋"/>
          <w:sz w:val="32"/>
          <w:szCs w:val="32"/>
        </w:rPr>
        <w:t>指</w:t>
      </w:r>
      <w:r>
        <w:rPr>
          <w:rFonts w:hint="eastAsia" w:ascii="仿宋" w:hAnsi="仿宋" w:eastAsia="仿宋"/>
          <w:sz w:val="32"/>
          <w:szCs w:val="32"/>
          <w:lang w:eastAsia="zh-CN"/>
        </w:rPr>
        <w:t>威海市欧美同学会秘书处</w:t>
      </w:r>
      <w:r>
        <w:rPr>
          <w:rFonts w:hint="eastAsia" w:ascii="仿宋" w:hAnsi="仿宋" w:eastAsia="仿宋"/>
          <w:sz w:val="32"/>
          <w:szCs w:val="32"/>
        </w:rPr>
        <w:t>用于保障机构正常运行、开展日常工作</w:t>
      </w:r>
      <w:r>
        <w:rPr>
          <w:rFonts w:hint="eastAsia" w:ascii="仿宋" w:hAnsi="仿宋" w:eastAsia="仿宋"/>
          <w:sz w:val="32"/>
          <w:szCs w:val="32"/>
          <w:lang w:eastAsia="zh-CN"/>
        </w:rPr>
        <w:t>的</w:t>
      </w:r>
      <w:r>
        <w:rPr>
          <w:rFonts w:hint="eastAsia" w:ascii="仿宋" w:hAnsi="仿宋" w:eastAsia="仿宋"/>
          <w:sz w:val="32"/>
          <w:szCs w:val="32"/>
        </w:rPr>
        <w:t>人员经费和公用经费支出。</w:t>
      </w:r>
    </w:p>
    <w:p>
      <w:pPr>
        <w:spacing w:line="580" w:lineRule="exact"/>
        <w:ind w:firstLine="600"/>
        <w:rPr>
          <w:rFonts w:hint="eastAsia" w:ascii="仿宋" w:hAnsi="仿宋" w:eastAsia="仿宋"/>
          <w:sz w:val="32"/>
          <w:szCs w:val="32"/>
        </w:rPr>
      </w:pPr>
      <w:r>
        <w:rPr>
          <w:rFonts w:hint="eastAsia" w:ascii="黑体" w:hAnsi="黑体" w:eastAsia="黑体" w:cs="黑体"/>
          <w:sz w:val="32"/>
          <w:szCs w:val="32"/>
          <w:lang w:eastAsia="zh-CN"/>
        </w:rPr>
        <w:t>十九</w:t>
      </w:r>
      <w:r>
        <w:rPr>
          <w:rFonts w:hint="eastAsia" w:ascii="仿宋" w:hAnsi="仿宋" w:eastAsia="仿宋"/>
          <w:sz w:val="32"/>
          <w:szCs w:val="32"/>
          <w:lang w:eastAsia="zh-CN"/>
        </w:rPr>
        <w:t>、</w:t>
      </w:r>
      <w:r>
        <w:rPr>
          <w:rFonts w:hint="eastAsia" w:ascii="黑体" w:hAnsi="黑体" w:eastAsia="黑体"/>
          <w:sz w:val="32"/>
          <w:szCs w:val="32"/>
        </w:rPr>
        <w:t>社会保障和就业（类）其他社会保障和就业（款）其他社会保障和就业支出（项）：</w:t>
      </w:r>
      <w:r>
        <w:rPr>
          <w:rFonts w:hint="eastAsia" w:ascii="仿宋" w:hAnsi="仿宋" w:eastAsia="仿宋"/>
          <w:sz w:val="32"/>
          <w:szCs w:val="32"/>
        </w:rPr>
        <w:t>指</w:t>
      </w:r>
      <w:r>
        <w:rPr>
          <w:rFonts w:hint="eastAsia" w:ascii="仿宋" w:hAnsi="仿宋" w:eastAsia="仿宋"/>
          <w:sz w:val="32"/>
          <w:szCs w:val="32"/>
          <w:lang w:eastAsia="zh-CN"/>
        </w:rPr>
        <w:t>威海市欧美同学会秘书处</w:t>
      </w:r>
      <w:r>
        <w:rPr>
          <w:rFonts w:hint="eastAsia" w:ascii="仿宋" w:hAnsi="仿宋" w:eastAsia="仿宋"/>
          <w:sz w:val="32"/>
          <w:szCs w:val="32"/>
        </w:rPr>
        <w:t>缴纳的职工工伤保险、失业保险支出。</w:t>
      </w:r>
    </w:p>
    <w:p>
      <w:pPr>
        <w:spacing w:line="580" w:lineRule="exact"/>
        <w:ind w:firstLine="600"/>
        <w:rPr>
          <w:rFonts w:hint="eastAsia" w:ascii="仿宋" w:hAnsi="仿宋" w:eastAsia="仿宋"/>
          <w:sz w:val="32"/>
          <w:szCs w:val="32"/>
        </w:rPr>
      </w:pPr>
      <w:r>
        <w:rPr>
          <w:rFonts w:hint="eastAsia" w:ascii="黑体" w:hAnsi="黑体" w:eastAsia="黑体" w:cs="黑体"/>
          <w:sz w:val="32"/>
          <w:szCs w:val="32"/>
          <w:lang w:eastAsia="zh-CN"/>
        </w:rPr>
        <w:t>二十、</w:t>
      </w:r>
      <w:r>
        <w:rPr>
          <w:rFonts w:hint="eastAsia" w:ascii="黑体" w:hAnsi="黑体" w:eastAsia="黑体"/>
          <w:sz w:val="32"/>
          <w:szCs w:val="32"/>
          <w:lang w:eastAsia="zh-CN"/>
        </w:rPr>
        <w:t>卫生健康支出</w:t>
      </w:r>
      <w:r>
        <w:rPr>
          <w:rFonts w:hint="eastAsia" w:ascii="黑体" w:hAnsi="黑体" w:eastAsia="黑体"/>
          <w:sz w:val="32"/>
          <w:szCs w:val="32"/>
        </w:rPr>
        <w:t>（类）行政事业单位医疗（款）行政单位医疗（项）：</w:t>
      </w:r>
      <w:r>
        <w:rPr>
          <w:rFonts w:hint="eastAsia" w:ascii="仿宋" w:hAnsi="仿宋" w:eastAsia="仿宋"/>
          <w:sz w:val="32"/>
          <w:szCs w:val="32"/>
        </w:rPr>
        <w:t>指</w:t>
      </w:r>
      <w:r>
        <w:rPr>
          <w:rFonts w:hint="eastAsia" w:ascii="仿宋" w:hAnsi="仿宋" w:eastAsia="仿宋"/>
          <w:sz w:val="32"/>
          <w:szCs w:val="32"/>
          <w:lang w:eastAsia="zh-CN"/>
        </w:rPr>
        <w:t>威海市欧美同学会秘书处</w:t>
      </w:r>
      <w:r>
        <w:rPr>
          <w:rFonts w:hint="eastAsia" w:ascii="仿宋" w:hAnsi="仿宋" w:eastAsia="仿宋"/>
          <w:sz w:val="32"/>
          <w:szCs w:val="32"/>
        </w:rPr>
        <w:t>缴纳的职工医疗保险支出。</w:t>
      </w:r>
    </w:p>
    <w:p>
      <w:pPr>
        <w:spacing w:line="580" w:lineRule="exact"/>
        <w:ind w:firstLine="640" w:firstLineChars="200"/>
        <w:rPr>
          <w:rFonts w:hint="eastAsia" w:ascii="仿宋" w:hAnsi="仿宋" w:eastAsia="仿宋"/>
          <w:sz w:val="32"/>
          <w:szCs w:val="32"/>
        </w:rPr>
      </w:pPr>
      <w:r>
        <w:rPr>
          <w:rFonts w:hint="eastAsia" w:ascii="黑体" w:hAnsi="黑体" w:eastAsia="黑体" w:cs="黑体"/>
          <w:sz w:val="32"/>
          <w:szCs w:val="32"/>
          <w:lang w:eastAsia="zh-CN"/>
        </w:rPr>
        <w:t>二十一、</w:t>
      </w:r>
      <w:r>
        <w:rPr>
          <w:rFonts w:hint="eastAsia" w:ascii="黑体" w:hAnsi="黑体" w:eastAsia="黑体"/>
          <w:color w:val="000000"/>
          <w:sz w:val="32"/>
          <w:szCs w:val="32"/>
          <w:lang w:eastAsia="zh-CN"/>
        </w:rPr>
        <w:t>卫生健康支出</w:t>
      </w:r>
      <w:r>
        <w:rPr>
          <w:rFonts w:hint="eastAsia" w:ascii="黑体" w:hAnsi="黑体" w:eastAsia="黑体"/>
          <w:color w:val="000000"/>
          <w:sz w:val="32"/>
          <w:szCs w:val="32"/>
        </w:rPr>
        <w:t>（类）行政事业单位医疗（款）公务员医疗补助（项）：</w:t>
      </w:r>
      <w:r>
        <w:rPr>
          <w:rFonts w:hint="eastAsia" w:ascii="仿宋" w:hAnsi="仿宋" w:eastAsia="仿宋"/>
          <w:sz w:val="32"/>
          <w:szCs w:val="32"/>
        </w:rPr>
        <w:t>指</w:t>
      </w:r>
      <w:r>
        <w:rPr>
          <w:rFonts w:hint="eastAsia" w:ascii="仿宋" w:hAnsi="仿宋" w:eastAsia="仿宋"/>
          <w:sz w:val="32"/>
          <w:szCs w:val="32"/>
          <w:lang w:eastAsia="zh-CN"/>
        </w:rPr>
        <w:t>威海市欧美同学会秘书处</w:t>
      </w:r>
      <w:r>
        <w:rPr>
          <w:rFonts w:hint="eastAsia" w:ascii="仿宋" w:hAnsi="仿宋" w:eastAsia="仿宋"/>
          <w:sz w:val="32"/>
          <w:szCs w:val="32"/>
        </w:rPr>
        <w:t>缴纳</w:t>
      </w:r>
      <w:r>
        <w:rPr>
          <w:rFonts w:hint="eastAsia" w:ascii="仿宋" w:hAnsi="仿宋" w:eastAsia="仿宋"/>
          <w:sz w:val="32"/>
          <w:szCs w:val="32"/>
          <w:lang w:eastAsia="zh-CN"/>
        </w:rPr>
        <w:t>的</w:t>
      </w:r>
      <w:r>
        <w:rPr>
          <w:rFonts w:hint="eastAsia" w:ascii="仿宋" w:hAnsi="仿宋" w:eastAsia="仿宋"/>
          <w:sz w:val="32"/>
          <w:szCs w:val="32"/>
        </w:rPr>
        <w:t>公务员医疗补助保险支出。</w:t>
      </w:r>
    </w:p>
    <w:p>
      <w:pPr>
        <w:spacing w:line="580" w:lineRule="exact"/>
        <w:ind w:left="958" w:leftChars="304" w:hanging="320" w:hangingChars="100"/>
        <w:rPr>
          <w:rFonts w:hint="eastAsia" w:ascii="黑体" w:hAnsi="黑体" w:eastAsia="黑体"/>
          <w:sz w:val="32"/>
          <w:szCs w:val="32"/>
        </w:rPr>
      </w:pPr>
      <w:r>
        <w:rPr>
          <w:rFonts w:hint="eastAsia" w:ascii="黑体" w:hAnsi="黑体" w:eastAsia="黑体" w:cs="黑体"/>
          <w:sz w:val="32"/>
          <w:szCs w:val="32"/>
          <w:lang w:eastAsia="zh-CN"/>
        </w:rPr>
        <w:t>二十二、</w:t>
      </w:r>
      <w:r>
        <w:rPr>
          <w:rFonts w:hint="eastAsia" w:ascii="黑体" w:hAnsi="黑体" w:eastAsia="黑体"/>
          <w:sz w:val="32"/>
          <w:szCs w:val="32"/>
        </w:rPr>
        <w:t>住房保障（类）住房改革（款）住房公积金</w:t>
      </w:r>
    </w:p>
    <w:p>
      <w:pPr>
        <w:spacing w:line="580" w:lineRule="exact"/>
        <w:ind w:left="958" w:leftChars="304" w:hanging="320" w:hangingChars="100"/>
        <w:jc w:val="left"/>
        <w:rPr>
          <w:rFonts w:ascii="仿宋" w:hAnsi="仿宋" w:eastAsia="仿宋"/>
          <w:sz w:val="32"/>
          <w:szCs w:val="32"/>
        </w:rPr>
      </w:pPr>
      <w:r>
        <w:rPr>
          <w:rFonts w:hint="eastAsia" w:ascii="仿宋" w:hAnsi="仿宋" w:eastAsia="仿宋"/>
          <w:sz w:val="32"/>
          <w:szCs w:val="32"/>
        </w:rPr>
        <w:t>指</w:t>
      </w:r>
      <w:r>
        <w:rPr>
          <w:rFonts w:hint="eastAsia" w:ascii="仿宋" w:hAnsi="仿宋" w:eastAsia="仿宋"/>
          <w:sz w:val="32"/>
          <w:szCs w:val="32"/>
          <w:lang w:eastAsia="zh-CN"/>
        </w:rPr>
        <w:t>威海市欧美同学会秘书处</w:t>
      </w:r>
      <w:r>
        <w:rPr>
          <w:rFonts w:hint="eastAsia" w:ascii="仿宋" w:hAnsi="仿宋" w:eastAsia="仿宋"/>
          <w:sz w:val="32"/>
          <w:szCs w:val="32"/>
        </w:rPr>
        <w:t>缴纳的职工住房公积金支出。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b/>
          <w:sz w:val="32"/>
          <w:szCs w:val="32"/>
        </w:rPr>
      </w:pPr>
    </w:p>
    <w:sectPr>
      <w:pgSz w:w="11906" w:h="16838"/>
      <w:pgMar w:top="2041" w:right="1701" w:bottom="2041" w:left="1701"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Tahoma">
    <w:altName w:val="DejaVu Sans"/>
    <w:panose1 w:val="020B0604030504040204"/>
    <w:charset w:val="00"/>
    <w:family w:val="swiss"/>
    <w:pitch w:val="default"/>
    <w:sig w:usb0="00000000" w:usb1="00000000" w:usb2="00000008" w:usb3="00000000" w:csb0="200101FF" w:csb1="20280000"/>
  </w:font>
  <w:font w:name="Verdana">
    <w:altName w:val="DejaVu Sans"/>
    <w:panose1 w:val="020B0604030504040204"/>
    <w:charset w:val="00"/>
    <w:family w:val="swiss"/>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rStyle w:val="10"/>
        <w:rFonts w:hint="eastAsia"/>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9</w:t>
    </w:r>
    <w:r>
      <w:rPr>
        <w:sz w:val="24"/>
        <w:szCs w:val="24"/>
      </w:rPr>
      <w:fldChar w:fldCharType="end"/>
    </w:r>
    <w:r>
      <w:rPr>
        <w:rFonts w:hint="eastAsia"/>
        <w:sz w:val="24"/>
        <w:szCs w:val="24"/>
      </w:rPr>
      <w:t xml:space="preserve"> </w:t>
    </w:r>
    <w:r>
      <w:rPr>
        <w:rStyle w:val="10"/>
        <w:rFonts w:hint="eastAsia"/>
        <w:sz w:val="24"/>
        <w:szCs w:val="24"/>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fldChar w:fldCharType="begin"/>
    </w:r>
    <w:r>
      <w:rPr>
        <w:rStyle w:val="10"/>
      </w:rPr>
      <w:instrText xml:space="preserve">PAGE  </w:instrText>
    </w:r>
    <w:r>
      <w:fldChar w:fldCharType="end"/>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37A964"/>
    <w:multiLevelType w:val="singleLevel"/>
    <w:tmpl w:val="E737A964"/>
    <w:lvl w:ilvl="0" w:tentative="0">
      <w:start w:val="1"/>
      <w:numFmt w:val="chineseCounting"/>
      <w:suff w:val="nothing"/>
      <w:lvlText w:val="（%1）"/>
      <w:lvlJc w:val="left"/>
      <w:rPr>
        <w:rFonts w:hint="eastAsia"/>
      </w:rPr>
    </w:lvl>
  </w:abstractNum>
  <w:abstractNum w:abstractNumId="1">
    <w:nsid w:val="1FDB15DE"/>
    <w:multiLevelType w:val="singleLevel"/>
    <w:tmpl w:val="1FDB15DE"/>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noPunctuationKerning w:val="true"/>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RmZTZjMTUxOTc5NmRkNzE1OTI0M2E2NmY1NDMwZTkifQ=="/>
  </w:docVars>
  <w:rsids>
    <w:rsidRoot w:val="00172A27"/>
    <w:rsid w:val="0001008A"/>
    <w:rsid w:val="00010673"/>
    <w:rsid w:val="00011C7A"/>
    <w:rsid w:val="00022AAD"/>
    <w:rsid w:val="00023625"/>
    <w:rsid w:val="00030882"/>
    <w:rsid w:val="00054C69"/>
    <w:rsid w:val="000554CC"/>
    <w:rsid w:val="0005742A"/>
    <w:rsid w:val="00075A6F"/>
    <w:rsid w:val="00076236"/>
    <w:rsid w:val="00081D39"/>
    <w:rsid w:val="000A703B"/>
    <w:rsid w:val="000B54D1"/>
    <w:rsid w:val="000C3779"/>
    <w:rsid w:val="000C5088"/>
    <w:rsid w:val="000E4BB7"/>
    <w:rsid w:val="000F1C1C"/>
    <w:rsid w:val="000F26CD"/>
    <w:rsid w:val="001058DE"/>
    <w:rsid w:val="00116D31"/>
    <w:rsid w:val="00125875"/>
    <w:rsid w:val="00144AE4"/>
    <w:rsid w:val="00157BE7"/>
    <w:rsid w:val="00160D34"/>
    <w:rsid w:val="00164920"/>
    <w:rsid w:val="00172A27"/>
    <w:rsid w:val="00174DB6"/>
    <w:rsid w:val="00192758"/>
    <w:rsid w:val="001936DE"/>
    <w:rsid w:val="001A66D1"/>
    <w:rsid w:val="001A6D02"/>
    <w:rsid w:val="001A7F8B"/>
    <w:rsid w:val="001B7F02"/>
    <w:rsid w:val="001C3983"/>
    <w:rsid w:val="001D0BE4"/>
    <w:rsid w:val="001D1EE8"/>
    <w:rsid w:val="001E2FB2"/>
    <w:rsid w:val="001E40F8"/>
    <w:rsid w:val="001E5997"/>
    <w:rsid w:val="001E6045"/>
    <w:rsid w:val="0020356F"/>
    <w:rsid w:val="00210987"/>
    <w:rsid w:val="0023161F"/>
    <w:rsid w:val="00246875"/>
    <w:rsid w:val="00252E84"/>
    <w:rsid w:val="00281CB7"/>
    <w:rsid w:val="002911CA"/>
    <w:rsid w:val="002C146D"/>
    <w:rsid w:val="002C2328"/>
    <w:rsid w:val="002C3125"/>
    <w:rsid w:val="002D6A50"/>
    <w:rsid w:val="002E44DB"/>
    <w:rsid w:val="002F70B0"/>
    <w:rsid w:val="00300F0C"/>
    <w:rsid w:val="00307AD7"/>
    <w:rsid w:val="00320249"/>
    <w:rsid w:val="00326BEE"/>
    <w:rsid w:val="00333CC4"/>
    <w:rsid w:val="00344896"/>
    <w:rsid w:val="00354746"/>
    <w:rsid w:val="00357493"/>
    <w:rsid w:val="0036153A"/>
    <w:rsid w:val="00362E74"/>
    <w:rsid w:val="00375DFB"/>
    <w:rsid w:val="00377C97"/>
    <w:rsid w:val="00382B98"/>
    <w:rsid w:val="003917E8"/>
    <w:rsid w:val="00396A7C"/>
    <w:rsid w:val="00396E9A"/>
    <w:rsid w:val="003B12A8"/>
    <w:rsid w:val="003B5303"/>
    <w:rsid w:val="003C1F30"/>
    <w:rsid w:val="003E270E"/>
    <w:rsid w:val="003E7E61"/>
    <w:rsid w:val="003F19BA"/>
    <w:rsid w:val="003F51F9"/>
    <w:rsid w:val="0040574B"/>
    <w:rsid w:val="00410076"/>
    <w:rsid w:val="00413E62"/>
    <w:rsid w:val="00433164"/>
    <w:rsid w:val="00443B37"/>
    <w:rsid w:val="004463D0"/>
    <w:rsid w:val="004535AF"/>
    <w:rsid w:val="004561C5"/>
    <w:rsid w:val="00456274"/>
    <w:rsid w:val="00456E33"/>
    <w:rsid w:val="00457A00"/>
    <w:rsid w:val="00464A5A"/>
    <w:rsid w:val="00482FA0"/>
    <w:rsid w:val="00491923"/>
    <w:rsid w:val="004B1D9B"/>
    <w:rsid w:val="004B4DEE"/>
    <w:rsid w:val="004B698B"/>
    <w:rsid w:val="004C01FE"/>
    <w:rsid w:val="004C0C5F"/>
    <w:rsid w:val="004C2244"/>
    <w:rsid w:val="004C6C96"/>
    <w:rsid w:val="004F1661"/>
    <w:rsid w:val="00513FB9"/>
    <w:rsid w:val="00523619"/>
    <w:rsid w:val="00526039"/>
    <w:rsid w:val="00532FF8"/>
    <w:rsid w:val="00537128"/>
    <w:rsid w:val="0054312E"/>
    <w:rsid w:val="0054525E"/>
    <w:rsid w:val="00564CF2"/>
    <w:rsid w:val="00565B9C"/>
    <w:rsid w:val="005672CA"/>
    <w:rsid w:val="005725DE"/>
    <w:rsid w:val="0057478D"/>
    <w:rsid w:val="00585B8E"/>
    <w:rsid w:val="00586C50"/>
    <w:rsid w:val="00595BAF"/>
    <w:rsid w:val="005A45F6"/>
    <w:rsid w:val="005A7973"/>
    <w:rsid w:val="005B4E3B"/>
    <w:rsid w:val="005C3F56"/>
    <w:rsid w:val="005C4097"/>
    <w:rsid w:val="005C6857"/>
    <w:rsid w:val="005D42DE"/>
    <w:rsid w:val="005E08E7"/>
    <w:rsid w:val="005E2CB9"/>
    <w:rsid w:val="005F2614"/>
    <w:rsid w:val="005F455B"/>
    <w:rsid w:val="005F4857"/>
    <w:rsid w:val="00601E54"/>
    <w:rsid w:val="00605FC9"/>
    <w:rsid w:val="0060682E"/>
    <w:rsid w:val="0061336E"/>
    <w:rsid w:val="00613717"/>
    <w:rsid w:val="006242FD"/>
    <w:rsid w:val="0062436A"/>
    <w:rsid w:val="00627600"/>
    <w:rsid w:val="00632F83"/>
    <w:rsid w:val="006367A4"/>
    <w:rsid w:val="00647B29"/>
    <w:rsid w:val="00651441"/>
    <w:rsid w:val="006568FE"/>
    <w:rsid w:val="006635EB"/>
    <w:rsid w:val="00663871"/>
    <w:rsid w:val="00666526"/>
    <w:rsid w:val="006714BD"/>
    <w:rsid w:val="00676A2F"/>
    <w:rsid w:val="00680289"/>
    <w:rsid w:val="00696318"/>
    <w:rsid w:val="006A3F79"/>
    <w:rsid w:val="006D088E"/>
    <w:rsid w:val="006F4CF8"/>
    <w:rsid w:val="00736447"/>
    <w:rsid w:val="007365A6"/>
    <w:rsid w:val="00740EB1"/>
    <w:rsid w:val="00743021"/>
    <w:rsid w:val="00753BBD"/>
    <w:rsid w:val="00766BC8"/>
    <w:rsid w:val="007714BA"/>
    <w:rsid w:val="00782C07"/>
    <w:rsid w:val="00786CB5"/>
    <w:rsid w:val="007918FF"/>
    <w:rsid w:val="007B2057"/>
    <w:rsid w:val="007B5C17"/>
    <w:rsid w:val="007B6487"/>
    <w:rsid w:val="007C3180"/>
    <w:rsid w:val="007C7FD6"/>
    <w:rsid w:val="007E27E8"/>
    <w:rsid w:val="007F0D14"/>
    <w:rsid w:val="007F25AC"/>
    <w:rsid w:val="007F27CE"/>
    <w:rsid w:val="008060F8"/>
    <w:rsid w:val="00807D77"/>
    <w:rsid w:val="00816987"/>
    <w:rsid w:val="008210BF"/>
    <w:rsid w:val="00823DBB"/>
    <w:rsid w:val="00827E5D"/>
    <w:rsid w:val="00834DBE"/>
    <w:rsid w:val="0083589D"/>
    <w:rsid w:val="00844792"/>
    <w:rsid w:val="00844B89"/>
    <w:rsid w:val="00854246"/>
    <w:rsid w:val="00857D93"/>
    <w:rsid w:val="00860AC6"/>
    <w:rsid w:val="00865D77"/>
    <w:rsid w:val="00877BA1"/>
    <w:rsid w:val="00877DAA"/>
    <w:rsid w:val="00883A47"/>
    <w:rsid w:val="0088469B"/>
    <w:rsid w:val="0088708B"/>
    <w:rsid w:val="00887309"/>
    <w:rsid w:val="00895E6A"/>
    <w:rsid w:val="008A3366"/>
    <w:rsid w:val="008A7B7A"/>
    <w:rsid w:val="008B2FDE"/>
    <w:rsid w:val="008B7792"/>
    <w:rsid w:val="008B7B09"/>
    <w:rsid w:val="008D11E7"/>
    <w:rsid w:val="008D25F8"/>
    <w:rsid w:val="008D4BAE"/>
    <w:rsid w:val="008E09AD"/>
    <w:rsid w:val="008E4239"/>
    <w:rsid w:val="008E668C"/>
    <w:rsid w:val="008F6960"/>
    <w:rsid w:val="00913422"/>
    <w:rsid w:val="0091725F"/>
    <w:rsid w:val="00923DFF"/>
    <w:rsid w:val="009256CA"/>
    <w:rsid w:val="009263E0"/>
    <w:rsid w:val="00930D16"/>
    <w:rsid w:val="00937B2C"/>
    <w:rsid w:val="00965C3C"/>
    <w:rsid w:val="00966F76"/>
    <w:rsid w:val="00967768"/>
    <w:rsid w:val="009742D6"/>
    <w:rsid w:val="00980CD1"/>
    <w:rsid w:val="0098541F"/>
    <w:rsid w:val="00992B09"/>
    <w:rsid w:val="00993D2B"/>
    <w:rsid w:val="00996C23"/>
    <w:rsid w:val="009A1948"/>
    <w:rsid w:val="009C7F4F"/>
    <w:rsid w:val="009D43E3"/>
    <w:rsid w:val="009D6E8A"/>
    <w:rsid w:val="009E11C2"/>
    <w:rsid w:val="009E1D91"/>
    <w:rsid w:val="009E5F94"/>
    <w:rsid w:val="009E7511"/>
    <w:rsid w:val="009F1A21"/>
    <w:rsid w:val="009F3DA3"/>
    <w:rsid w:val="00A01963"/>
    <w:rsid w:val="00A10301"/>
    <w:rsid w:val="00A149B0"/>
    <w:rsid w:val="00A22D74"/>
    <w:rsid w:val="00A230E5"/>
    <w:rsid w:val="00A243FB"/>
    <w:rsid w:val="00A35FA3"/>
    <w:rsid w:val="00A44CD6"/>
    <w:rsid w:val="00A667E8"/>
    <w:rsid w:val="00A74D21"/>
    <w:rsid w:val="00A90E62"/>
    <w:rsid w:val="00A910E2"/>
    <w:rsid w:val="00A91FC6"/>
    <w:rsid w:val="00A935AF"/>
    <w:rsid w:val="00AA047B"/>
    <w:rsid w:val="00AB1FB6"/>
    <w:rsid w:val="00AD6A16"/>
    <w:rsid w:val="00AE406B"/>
    <w:rsid w:val="00AE57CB"/>
    <w:rsid w:val="00AF1036"/>
    <w:rsid w:val="00B06B96"/>
    <w:rsid w:val="00B11A86"/>
    <w:rsid w:val="00B15E4A"/>
    <w:rsid w:val="00B178ED"/>
    <w:rsid w:val="00B21243"/>
    <w:rsid w:val="00B2186A"/>
    <w:rsid w:val="00B22627"/>
    <w:rsid w:val="00B243D9"/>
    <w:rsid w:val="00B31894"/>
    <w:rsid w:val="00B330FE"/>
    <w:rsid w:val="00B4498A"/>
    <w:rsid w:val="00B50117"/>
    <w:rsid w:val="00B53C8D"/>
    <w:rsid w:val="00B55D40"/>
    <w:rsid w:val="00B64269"/>
    <w:rsid w:val="00B80B3A"/>
    <w:rsid w:val="00B9458D"/>
    <w:rsid w:val="00BA0B64"/>
    <w:rsid w:val="00BA40B9"/>
    <w:rsid w:val="00BA5FD5"/>
    <w:rsid w:val="00BB54C8"/>
    <w:rsid w:val="00BC28B5"/>
    <w:rsid w:val="00BC58D9"/>
    <w:rsid w:val="00BC76AB"/>
    <w:rsid w:val="00BC7877"/>
    <w:rsid w:val="00BD5179"/>
    <w:rsid w:val="00BD6D00"/>
    <w:rsid w:val="00BF6985"/>
    <w:rsid w:val="00C021D9"/>
    <w:rsid w:val="00C04BA3"/>
    <w:rsid w:val="00C073BC"/>
    <w:rsid w:val="00C237F4"/>
    <w:rsid w:val="00C27DE9"/>
    <w:rsid w:val="00C317B3"/>
    <w:rsid w:val="00C3322D"/>
    <w:rsid w:val="00C50B9B"/>
    <w:rsid w:val="00C56AF8"/>
    <w:rsid w:val="00C6247C"/>
    <w:rsid w:val="00C6627F"/>
    <w:rsid w:val="00C665D3"/>
    <w:rsid w:val="00C7172B"/>
    <w:rsid w:val="00C751B4"/>
    <w:rsid w:val="00C76401"/>
    <w:rsid w:val="00C87527"/>
    <w:rsid w:val="00C95BA8"/>
    <w:rsid w:val="00CA0190"/>
    <w:rsid w:val="00CA25F2"/>
    <w:rsid w:val="00CB0CFF"/>
    <w:rsid w:val="00CB1C9F"/>
    <w:rsid w:val="00CB7CE6"/>
    <w:rsid w:val="00CC2A47"/>
    <w:rsid w:val="00CC5226"/>
    <w:rsid w:val="00CC5EEF"/>
    <w:rsid w:val="00CD4A47"/>
    <w:rsid w:val="00CD63D1"/>
    <w:rsid w:val="00CE45A2"/>
    <w:rsid w:val="00CE7335"/>
    <w:rsid w:val="00D10639"/>
    <w:rsid w:val="00D14409"/>
    <w:rsid w:val="00D2241B"/>
    <w:rsid w:val="00D23D9F"/>
    <w:rsid w:val="00D4277D"/>
    <w:rsid w:val="00D72336"/>
    <w:rsid w:val="00D750D6"/>
    <w:rsid w:val="00D8708B"/>
    <w:rsid w:val="00D87A87"/>
    <w:rsid w:val="00D96EB1"/>
    <w:rsid w:val="00DB3517"/>
    <w:rsid w:val="00DB3D7E"/>
    <w:rsid w:val="00DB6AF8"/>
    <w:rsid w:val="00DC199D"/>
    <w:rsid w:val="00DD1AC2"/>
    <w:rsid w:val="00DD2FA5"/>
    <w:rsid w:val="00DD32EE"/>
    <w:rsid w:val="00DD3DF5"/>
    <w:rsid w:val="00DD5A39"/>
    <w:rsid w:val="00DF0353"/>
    <w:rsid w:val="00DF0A4C"/>
    <w:rsid w:val="00DF5E2E"/>
    <w:rsid w:val="00E073B5"/>
    <w:rsid w:val="00E1513F"/>
    <w:rsid w:val="00E22999"/>
    <w:rsid w:val="00E264DB"/>
    <w:rsid w:val="00E32584"/>
    <w:rsid w:val="00E46C7A"/>
    <w:rsid w:val="00E67C15"/>
    <w:rsid w:val="00E73FFB"/>
    <w:rsid w:val="00E753F6"/>
    <w:rsid w:val="00E85409"/>
    <w:rsid w:val="00E936F6"/>
    <w:rsid w:val="00EA2C5B"/>
    <w:rsid w:val="00EB5864"/>
    <w:rsid w:val="00EC3C36"/>
    <w:rsid w:val="00ED1A0B"/>
    <w:rsid w:val="00ED2CC0"/>
    <w:rsid w:val="00F01903"/>
    <w:rsid w:val="00F03D81"/>
    <w:rsid w:val="00F13AAB"/>
    <w:rsid w:val="00F1483D"/>
    <w:rsid w:val="00F24B62"/>
    <w:rsid w:val="00F31776"/>
    <w:rsid w:val="00F4635D"/>
    <w:rsid w:val="00F4680D"/>
    <w:rsid w:val="00F46EFE"/>
    <w:rsid w:val="00F5164E"/>
    <w:rsid w:val="00F532E5"/>
    <w:rsid w:val="00F542E5"/>
    <w:rsid w:val="00F614B8"/>
    <w:rsid w:val="00F615A1"/>
    <w:rsid w:val="00F62CB3"/>
    <w:rsid w:val="00F668DB"/>
    <w:rsid w:val="00F72F36"/>
    <w:rsid w:val="00F732B4"/>
    <w:rsid w:val="00F7416B"/>
    <w:rsid w:val="00F93C11"/>
    <w:rsid w:val="00FA7233"/>
    <w:rsid w:val="00FA7B12"/>
    <w:rsid w:val="00FB14A1"/>
    <w:rsid w:val="00FD1B3A"/>
    <w:rsid w:val="00FF5012"/>
    <w:rsid w:val="00FF68BD"/>
    <w:rsid w:val="01850063"/>
    <w:rsid w:val="01B24C8B"/>
    <w:rsid w:val="02AD265A"/>
    <w:rsid w:val="02BC2F88"/>
    <w:rsid w:val="03D81C45"/>
    <w:rsid w:val="042636E8"/>
    <w:rsid w:val="044B548D"/>
    <w:rsid w:val="04A67776"/>
    <w:rsid w:val="04F27A0F"/>
    <w:rsid w:val="04FA7AC4"/>
    <w:rsid w:val="051A3546"/>
    <w:rsid w:val="052512DA"/>
    <w:rsid w:val="05B948B7"/>
    <w:rsid w:val="0612116B"/>
    <w:rsid w:val="06965CBD"/>
    <w:rsid w:val="06B52ED7"/>
    <w:rsid w:val="07790841"/>
    <w:rsid w:val="08016BA0"/>
    <w:rsid w:val="08C902A3"/>
    <w:rsid w:val="090C45D3"/>
    <w:rsid w:val="09BF3E66"/>
    <w:rsid w:val="09FD64B9"/>
    <w:rsid w:val="0A221955"/>
    <w:rsid w:val="0A553567"/>
    <w:rsid w:val="0B27547A"/>
    <w:rsid w:val="0B612211"/>
    <w:rsid w:val="0BA850B2"/>
    <w:rsid w:val="0C42091A"/>
    <w:rsid w:val="0CA517C3"/>
    <w:rsid w:val="0D4125B7"/>
    <w:rsid w:val="0DBA5AC2"/>
    <w:rsid w:val="0EDA7570"/>
    <w:rsid w:val="0F0A1A17"/>
    <w:rsid w:val="0F977598"/>
    <w:rsid w:val="1054407B"/>
    <w:rsid w:val="10610D95"/>
    <w:rsid w:val="109522B9"/>
    <w:rsid w:val="10B91E4B"/>
    <w:rsid w:val="11750BC2"/>
    <w:rsid w:val="1185796D"/>
    <w:rsid w:val="11A33E19"/>
    <w:rsid w:val="11C934C3"/>
    <w:rsid w:val="11D5290D"/>
    <w:rsid w:val="121E0096"/>
    <w:rsid w:val="127370B0"/>
    <w:rsid w:val="12963FCA"/>
    <w:rsid w:val="12A95864"/>
    <w:rsid w:val="12F83F81"/>
    <w:rsid w:val="13300B53"/>
    <w:rsid w:val="1332726E"/>
    <w:rsid w:val="136A2DCD"/>
    <w:rsid w:val="138D2144"/>
    <w:rsid w:val="13CE12B7"/>
    <w:rsid w:val="14766C9A"/>
    <w:rsid w:val="14F67E8F"/>
    <w:rsid w:val="168C6D9E"/>
    <w:rsid w:val="168D614A"/>
    <w:rsid w:val="17435F7F"/>
    <w:rsid w:val="176701DD"/>
    <w:rsid w:val="177002BA"/>
    <w:rsid w:val="17906BB7"/>
    <w:rsid w:val="17C73096"/>
    <w:rsid w:val="181F0A1F"/>
    <w:rsid w:val="18F3345C"/>
    <w:rsid w:val="18F72DD0"/>
    <w:rsid w:val="191E49B5"/>
    <w:rsid w:val="19725830"/>
    <w:rsid w:val="19A03845"/>
    <w:rsid w:val="1A4D0107"/>
    <w:rsid w:val="1A7578EC"/>
    <w:rsid w:val="1AAD7844"/>
    <w:rsid w:val="1AF47930"/>
    <w:rsid w:val="1AFF5FE4"/>
    <w:rsid w:val="1B0637E2"/>
    <w:rsid w:val="1BDD2D2F"/>
    <w:rsid w:val="1CB963C7"/>
    <w:rsid w:val="1CE51F1C"/>
    <w:rsid w:val="1D911B84"/>
    <w:rsid w:val="1DB002DC"/>
    <w:rsid w:val="1E514DED"/>
    <w:rsid w:val="1E8F40C9"/>
    <w:rsid w:val="1EB24546"/>
    <w:rsid w:val="1F126FCC"/>
    <w:rsid w:val="20104008"/>
    <w:rsid w:val="203D4148"/>
    <w:rsid w:val="2042019C"/>
    <w:rsid w:val="20C47749"/>
    <w:rsid w:val="21881369"/>
    <w:rsid w:val="22B34BD1"/>
    <w:rsid w:val="236210FA"/>
    <w:rsid w:val="244611C8"/>
    <w:rsid w:val="24B6038F"/>
    <w:rsid w:val="25435333"/>
    <w:rsid w:val="25F24A5B"/>
    <w:rsid w:val="2612296F"/>
    <w:rsid w:val="26510D83"/>
    <w:rsid w:val="274418FC"/>
    <w:rsid w:val="2745657B"/>
    <w:rsid w:val="27AD7BC0"/>
    <w:rsid w:val="289F0B94"/>
    <w:rsid w:val="28FD1AF0"/>
    <w:rsid w:val="29AE62C8"/>
    <w:rsid w:val="29C22E59"/>
    <w:rsid w:val="2A02489F"/>
    <w:rsid w:val="2A5C3DAA"/>
    <w:rsid w:val="2A8E16D9"/>
    <w:rsid w:val="2AD51219"/>
    <w:rsid w:val="2AFF1FCC"/>
    <w:rsid w:val="2B9A4C59"/>
    <w:rsid w:val="2C24289D"/>
    <w:rsid w:val="2D3E2C92"/>
    <w:rsid w:val="2DA55F81"/>
    <w:rsid w:val="2DB65FD5"/>
    <w:rsid w:val="2DFB0DE9"/>
    <w:rsid w:val="2E4F7092"/>
    <w:rsid w:val="2E676905"/>
    <w:rsid w:val="2EEE383B"/>
    <w:rsid w:val="2EF87A74"/>
    <w:rsid w:val="2F9F546C"/>
    <w:rsid w:val="30AE0704"/>
    <w:rsid w:val="31405636"/>
    <w:rsid w:val="31885988"/>
    <w:rsid w:val="31AE2B66"/>
    <w:rsid w:val="31E24777"/>
    <w:rsid w:val="31EA1C00"/>
    <w:rsid w:val="32A4523B"/>
    <w:rsid w:val="32F22B99"/>
    <w:rsid w:val="3365779C"/>
    <w:rsid w:val="338378A0"/>
    <w:rsid w:val="339B1B33"/>
    <w:rsid w:val="33F545DB"/>
    <w:rsid w:val="34440451"/>
    <w:rsid w:val="3492687D"/>
    <w:rsid w:val="35351E70"/>
    <w:rsid w:val="35A46254"/>
    <w:rsid w:val="366E5751"/>
    <w:rsid w:val="367D2903"/>
    <w:rsid w:val="368469D5"/>
    <w:rsid w:val="36D4653B"/>
    <w:rsid w:val="37235B3A"/>
    <w:rsid w:val="3735411A"/>
    <w:rsid w:val="376A530A"/>
    <w:rsid w:val="37752084"/>
    <w:rsid w:val="37AE002C"/>
    <w:rsid w:val="38160AC4"/>
    <w:rsid w:val="38196A6D"/>
    <w:rsid w:val="384A0317"/>
    <w:rsid w:val="38743AF9"/>
    <w:rsid w:val="388B7725"/>
    <w:rsid w:val="38CE0D05"/>
    <w:rsid w:val="39244466"/>
    <w:rsid w:val="39C135D1"/>
    <w:rsid w:val="3A60770D"/>
    <w:rsid w:val="3AFA1904"/>
    <w:rsid w:val="3B0834D3"/>
    <w:rsid w:val="3B3B2117"/>
    <w:rsid w:val="3BC4391B"/>
    <w:rsid w:val="3BE924EE"/>
    <w:rsid w:val="3C1277CC"/>
    <w:rsid w:val="3C6A35E2"/>
    <w:rsid w:val="3C6D287B"/>
    <w:rsid w:val="3C8001B4"/>
    <w:rsid w:val="3D354CED"/>
    <w:rsid w:val="3D531A76"/>
    <w:rsid w:val="3D5A02ED"/>
    <w:rsid w:val="3DA5537B"/>
    <w:rsid w:val="3DBB2D02"/>
    <w:rsid w:val="3DCF6BFD"/>
    <w:rsid w:val="3DEB1345"/>
    <w:rsid w:val="3E352B6E"/>
    <w:rsid w:val="3E99177D"/>
    <w:rsid w:val="3EF83AD7"/>
    <w:rsid w:val="3F2276E7"/>
    <w:rsid w:val="3F5B1B0D"/>
    <w:rsid w:val="3FE42D10"/>
    <w:rsid w:val="400F3041"/>
    <w:rsid w:val="41017978"/>
    <w:rsid w:val="41EC1CA3"/>
    <w:rsid w:val="425C345A"/>
    <w:rsid w:val="43037D72"/>
    <w:rsid w:val="433E6ABB"/>
    <w:rsid w:val="438910D4"/>
    <w:rsid w:val="438F40D2"/>
    <w:rsid w:val="43E964A0"/>
    <w:rsid w:val="44234106"/>
    <w:rsid w:val="444B0952"/>
    <w:rsid w:val="447D29D7"/>
    <w:rsid w:val="44BD4656"/>
    <w:rsid w:val="44DF2F25"/>
    <w:rsid w:val="45011015"/>
    <w:rsid w:val="45B91AA7"/>
    <w:rsid w:val="45C447DC"/>
    <w:rsid w:val="4632053B"/>
    <w:rsid w:val="4645644E"/>
    <w:rsid w:val="466619B0"/>
    <w:rsid w:val="468D375C"/>
    <w:rsid w:val="46F30AEC"/>
    <w:rsid w:val="46F4004E"/>
    <w:rsid w:val="47316590"/>
    <w:rsid w:val="47CE7AEC"/>
    <w:rsid w:val="484D76BB"/>
    <w:rsid w:val="48570546"/>
    <w:rsid w:val="49470E56"/>
    <w:rsid w:val="49983F5E"/>
    <w:rsid w:val="49A93DA8"/>
    <w:rsid w:val="4AEA112C"/>
    <w:rsid w:val="4AFD6E03"/>
    <w:rsid w:val="4B140A35"/>
    <w:rsid w:val="4BEA587F"/>
    <w:rsid w:val="4CCF0507"/>
    <w:rsid w:val="4CDA55E2"/>
    <w:rsid w:val="4D522A3A"/>
    <w:rsid w:val="4DFA5D90"/>
    <w:rsid w:val="4E381E3E"/>
    <w:rsid w:val="4EB24DC5"/>
    <w:rsid w:val="4ED905C4"/>
    <w:rsid w:val="4F6C798B"/>
    <w:rsid w:val="4FC23D9D"/>
    <w:rsid w:val="507D0205"/>
    <w:rsid w:val="51E53914"/>
    <w:rsid w:val="52710380"/>
    <w:rsid w:val="52F25F83"/>
    <w:rsid w:val="52FA2D74"/>
    <w:rsid w:val="53207234"/>
    <w:rsid w:val="534E2233"/>
    <w:rsid w:val="5440117B"/>
    <w:rsid w:val="546155E5"/>
    <w:rsid w:val="549A3881"/>
    <w:rsid w:val="552B63DD"/>
    <w:rsid w:val="558627C6"/>
    <w:rsid w:val="565454FA"/>
    <w:rsid w:val="568D1358"/>
    <w:rsid w:val="57870ED1"/>
    <w:rsid w:val="58C87E55"/>
    <w:rsid w:val="58F220A7"/>
    <w:rsid w:val="590A1A7F"/>
    <w:rsid w:val="59BF0170"/>
    <w:rsid w:val="59D91880"/>
    <w:rsid w:val="59F2587C"/>
    <w:rsid w:val="59F54ADB"/>
    <w:rsid w:val="5A37605C"/>
    <w:rsid w:val="5A570CC9"/>
    <w:rsid w:val="5A5C76C4"/>
    <w:rsid w:val="5A993AC8"/>
    <w:rsid w:val="5ABA0C40"/>
    <w:rsid w:val="5B4B3A35"/>
    <w:rsid w:val="5B52178D"/>
    <w:rsid w:val="5C1703A7"/>
    <w:rsid w:val="5C22110F"/>
    <w:rsid w:val="5CCB2916"/>
    <w:rsid w:val="5D0244AA"/>
    <w:rsid w:val="5DB521F5"/>
    <w:rsid w:val="5E1E5C4B"/>
    <w:rsid w:val="5E3E3239"/>
    <w:rsid w:val="5E477697"/>
    <w:rsid w:val="5E671586"/>
    <w:rsid w:val="5EC0240A"/>
    <w:rsid w:val="5F765857"/>
    <w:rsid w:val="5FC9717F"/>
    <w:rsid w:val="5FD823BE"/>
    <w:rsid w:val="603E297B"/>
    <w:rsid w:val="622F1706"/>
    <w:rsid w:val="63265900"/>
    <w:rsid w:val="635F2ABF"/>
    <w:rsid w:val="64192F0D"/>
    <w:rsid w:val="64863537"/>
    <w:rsid w:val="652E0E9F"/>
    <w:rsid w:val="653908EB"/>
    <w:rsid w:val="65C9315F"/>
    <w:rsid w:val="671201AB"/>
    <w:rsid w:val="67934324"/>
    <w:rsid w:val="67AD69FB"/>
    <w:rsid w:val="680555FD"/>
    <w:rsid w:val="681C75F6"/>
    <w:rsid w:val="68D3103B"/>
    <w:rsid w:val="6961249C"/>
    <w:rsid w:val="6A4165AA"/>
    <w:rsid w:val="6AFC5D62"/>
    <w:rsid w:val="6B280E5A"/>
    <w:rsid w:val="6C2B4CC2"/>
    <w:rsid w:val="6C3577AD"/>
    <w:rsid w:val="6C735F54"/>
    <w:rsid w:val="6D030307"/>
    <w:rsid w:val="6D9D21A2"/>
    <w:rsid w:val="6E32082C"/>
    <w:rsid w:val="6E4264A1"/>
    <w:rsid w:val="6F2C04E6"/>
    <w:rsid w:val="6F7C1C99"/>
    <w:rsid w:val="6F9B3169"/>
    <w:rsid w:val="704B46DE"/>
    <w:rsid w:val="70737471"/>
    <w:rsid w:val="70DF6349"/>
    <w:rsid w:val="71B5084A"/>
    <w:rsid w:val="726638A9"/>
    <w:rsid w:val="72802F4E"/>
    <w:rsid w:val="728B6067"/>
    <w:rsid w:val="738A0D92"/>
    <w:rsid w:val="739D2AEB"/>
    <w:rsid w:val="73DA0C11"/>
    <w:rsid w:val="74116C3F"/>
    <w:rsid w:val="74187C5B"/>
    <w:rsid w:val="746F5177"/>
    <w:rsid w:val="75CE41FE"/>
    <w:rsid w:val="76131E23"/>
    <w:rsid w:val="763F639A"/>
    <w:rsid w:val="76933F6C"/>
    <w:rsid w:val="76E8311A"/>
    <w:rsid w:val="77074D10"/>
    <w:rsid w:val="772069FD"/>
    <w:rsid w:val="775774EF"/>
    <w:rsid w:val="77E66315"/>
    <w:rsid w:val="783E22E2"/>
    <w:rsid w:val="78951C5D"/>
    <w:rsid w:val="78B6671D"/>
    <w:rsid w:val="793B198B"/>
    <w:rsid w:val="7999290D"/>
    <w:rsid w:val="79A63688"/>
    <w:rsid w:val="7B102D5B"/>
    <w:rsid w:val="7B1C0112"/>
    <w:rsid w:val="7B39289D"/>
    <w:rsid w:val="7B927FB1"/>
    <w:rsid w:val="7BAC1DF6"/>
    <w:rsid w:val="7BB37E5E"/>
    <w:rsid w:val="7C9D227B"/>
    <w:rsid w:val="7E0612B0"/>
    <w:rsid w:val="7E1F2658"/>
    <w:rsid w:val="7E2E19A9"/>
    <w:rsid w:val="7E3F4364"/>
    <w:rsid w:val="7E684628"/>
    <w:rsid w:val="7E7C09FC"/>
    <w:rsid w:val="7E947B2E"/>
    <w:rsid w:val="7FAF1A2D"/>
    <w:rsid w:val="7FC200D1"/>
    <w:rsid w:val="D50BA6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qFormat/>
    <w:uiPriority w:val="0"/>
    <w:pPr>
      <w:jc w:val="left"/>
    </w:pPr>
  </w:style>
  <w:style w:type="paragraph" w:styleId="3">
    <w:name w:val="Date"/>
    <w:basedOn w:val="1"/>
    <w:next w:val="1"/>
    <w:link w:val="26"/>
    <w:semiHidden/>
    <w:unhideWhenUsed/>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8"/>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9"/>
    <w:qFormat/>
    <w:uiPriority w:val="0"/>
    <w:rPr>
      <w:b/>
      <w:bCs/>
    </w:rPr>
  </w:style>
  <w:style w:type="character" w:styleId="10">
    <w:name w:val="page number"/>
    <w:basedOn w:val="9"/>
    <w:qFormat/>
    <w:uiPriority w:val="0"/>
  </w:style>
  <w:style w:type="character" w:styleId="11">
    <w:name w:val="annotation reference"/>
    <w:qFormat/>
    <w:uiPriority w:val="0"/>
    <w:rPr>
      <w:sz w:val="21"/>
      <w:szCs w:val="21"/>
    </w:rPr>
  </w:style>
  <w:style w:type="paragraph" w:customStyle="1" w:styleId="12">
    <w:name w:val="p0"/>
    <w:basedOn w:val="1"/>
    <w:qFormat/>
    <w:uiPriority w:val="0"/>
    <w:pPr>
      <w:widowControl/>
    </w:pPr>
    <w:rPr>
      <w:kern w:val="0"/>
      <w:szCs w:val="21"/>
    </w:rPr>
  </w:style>
  <w:style w:type="paragraph" w:customStyle="1" w:styleId="13">
    <w:name w:val="Char Char"/>
    <w:basedOn w:val="1"/>
    <w:qFormat/>
    <w:uiPriority w:val="0"/>
    <w:rPr>
      <w:rFonts w:ascii="Tahoma" w:hAnsi="Tahoma"/>
      <w:sz w:val="24"/>
      <w:szCs w:val="20"/>
    </w:rPr>
  </w:style>
  <w:style w:type="paragraph" w:customStyle="1" w:styleId="14">
    <w:name w:val="Char Char Char Char Char Char Char Char Char Char Char Char Char Char Char Char"/>
    <w:basedOn w:val="1"/>
    <w:qFormat/>
    <w:uiPriority w:val="0"/>
    <w:pPr>
      <w:tabs>
        <w:tab w:val="left" w:pos="360"/>
      </w:tabs>
    </w:pPr>
    <w:rPr>
      <w:sz w:val="24"/>
    </w:rPr>
  </w:style>
  <w:style w:type="paragraph" w:customStyle="1" w:styleId="15">
    <w:name w:val="Char Char Char Char1 Char Char Char Char Char Char Char Char Char Char Char Char Char Char Char Char Char"/>
    <w:basedOn w:val="1"/>
    <w:qFormat/>
    <w:uiPriority w:val="0"/>
    <w:pPr>
      <w:widowControl/>
      <w:spacing w:after="160" w:line="240" w:lineRule="exact"/>
      <w:ind w:firstLine="980" w:firstLineChars="350"/>
      <w:jc w:val="left"/>
    </w:pPr>
    <w:rPr>
      <w:rFonts w:ascii="Verdana" w:hAnsi="Verdana" w:eastAsia="仿宋_GB2312"/>
      <w:kern w:val="0"/>
      <w:sz w:val="28"/>
      <w:szCs w:val="28"/>
      <w:lang w:eastAsia="en-US"/>
    </w:rPr>
  </w:style>
  <w:style w:type="paragraph" w:customStyle="1" w:styleId="16">
    <w:name w:val="_Style 14"/>
    <w:semiHidden/>
    <w:qFormat/>
    <w:uiPriority w:val="99"/>
    <w:rPr>
      <w:rFonts w:ascii="Times New Roman" w:hAnsi="Times New Roman" w:eastAsia="宋体" w:cs="Times New Roman"/>
      <w:kern w:val="2"/>
      <w:sz w:val="21"/>
      <w:szCs w:val="24"/>
      <w:lang w:val="en-US" w:eastAsia="zh-CN" w:bidi="ar-SA"/>
    </w:rPr>
  </w:style>
  <w:style w:type="character" w:customStyle="1" w:styleId="17">
    <w:name w:val="批注文字 字符"/>
    <w:link w:val="2"/>
    <w:qFormat/>
    <w:uiPriority w:val="0"/>
    <w:rPr>
      <w:kern w:val="2"/>
      <w:sz w:val="21"/>
      <w:szCs w:val="24"/>
    </w:rPr>
  </w:style>
  <w:style w:type="character" w:customStyle="1" w:styleId="18">
    <w:name w:val="页脚 字符"/>
    <w:link w:val="5"/>
    <w:qFormat/>
    <w:uiPriority w:val="99"/>
    <w:rPr>
      <w:kern w:val="2"/>
      <w:sz w:val="18"/>
      <w:szCs w:val="18"/>
    </w:rPr>
  </w:style>
  <w:style w:type="character" w:customStyle="1" w:styleId="19">
    <w:name w:val="批注主题 字符"/>
    <w:link w:val="7"/>
    <w:qFormat/>
    <w:uiPriority w:val="0"/>
    <w:rPr>
      <w:b/>
      <w:bCs/>
      <w:kern w:val="2"/>
      <w:sz w:val="21"/>
      <w:szCs w:val="24"/>
    </w:rPr>
  </w:style>
  <w:style w:type="paragraph" w:customStyle="1" w:styleId="20">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21">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22">
    <w:name w:val="font131"/>
    <w:basedOn w:val="9"/>
    <w:qFormat/>
    <w:uiPriority w:val="0"/>
    <w:rPr>
      <w:rFonts w:hint="eastAsia" w:ascii="黑体" w:hAnsi="宋体" w:eastAsia="黑体" w:cs="黑体"/>
      <w:color w:val="000000"/>
      <w:sz w:val="20"/>
      <w:szCs w:val="20"/>
      <w:u w:val="none"/>
    </w:rPr>
  </w:style>
  <w:style w:type="character" w:customStyle="1" w:styleId="23">
    <w:name w:val="font151"/>
    <w:basedOn w:val="9"/>
    <w:qFormat/>
    <w:uiPriority w:val="0"/>
    <w:rPr>
      <w:rFonts w:hint="eastAsia" w:ascii="黑体" w:hAnsi="宋体" w:eastAsia="黑体" w:cs="黑体"/>
      <w:color w:val="000000"/>
      <w:sz w:val="18"/>
      <w:szCs w:val="18"/>
      <w:u w:val="none"/>
    </w:rPr>
  </w:style>
  <w:style w:type="character" w:customStyle="1" w:styleId="24">
    <w:name w:val="font121"/>
    <w:basedOn w:val="9"/>
    <w:qFormat/>
    <w:uiPriority w:val="0"/>
    <w:rPr>
      <w:rFonts w:hint="eastAsia" w:ascii="黑体" w:hAnsi="宋体" w:eastAsia="黑体" w:cs="黑体"/>
      <w:color w:val="000000"/>
      <w:sz w:val="16"/>
      <w:szCs w:val="16"/>
      <w:u w:val="none"/>
    </w:rPr>
  </w:style>
  <w:style w:type="character" w:customStyle="1" w:styleId="25">
    <w:name w:val="font141"/>
    <w:basedOn w:val="9"/>
    <w:qFormat/>
    <w:uiPriority w:val="0"/>
    <w:rPr>
      <w:rFonts w:hint="eastAsia" w:ascii="黑体" w:hAnsi="宋体" w:eastAsia="黑体" w:cs="黑体"/>
      <w:color w:val="000000"/>
      <w:sz w:val="14"/>
      <w:szCs w:val="14"/>
      <w:u w:val="none"/>
    </w:rPr>
  </w:style>
  <w:style w:type="character" w:customStyle="1" w:styleId="26">
    <w:name w:val="日期 字符"/>
    <w:basedOn w:val="9"/>
    <w:link w:val="3"/>
    <w:semiHidden/>
    <w:qFormat/>
    <w:uiPriority w:val="0"/>
    <w:rPr>
      <w:kern w:val="2"/>
      <w:sz w:val="21"/>
      <w:szCs w:val="24"/>
    </w:rPr>
  </w:style>
  <w:style w:type="paragraph" w:customStyle="1" w:styleId="27">
    <w:name w:val="Revision"/>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X%20&#24037;&#20316;&#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023&#24180;&#24230;&#39044;&#31639;&#20844;&#24320;&#20013;&#38388;&#36807;&#31243;&#25991;&#20214;&#20849;6&#20010;&#22270;&#31034;&#65288;&#21516;&#23398;&#20250;&#65289;2023.3.20\&#39044;&#31639;&#20844;&#24320;&#31532;2&#20010;&#22270;(&#25903;&#20986;&#39033;&#30446;&#26500;&#25104;&#24773;&#20917;&#34920;&#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t>收入构成情况</a:t>
            </a:r>
          </a:p>
        </c:rich>
      </c:tx>
      <c:layout/>
      <c:overlay val="false"/>
      <c:spPr>
        <a:noFill/>
        <a:ln>
          <a:noFill/>
        </a:ln>
        <a:effectLst/>
      </c:spPr>
    </c:title>
    <c:autoTitleDeleted val="false"/>
    <c:plotArea>
      <c:layout/>
      <c:pieChart>
        <c:varyColors val="true"/>
        <c:ser>
          <c:idx val="0"/>
          <c:order val="0"/>
          <c:spPr/>
          <c:explosion val="0"/>
          <c:dPt>
            <c:idx val="0"/>
            <c:bubble3D val="false"/>
            <c:spPr>
              <a:solidFill>
                <a:schemeClr val="accent1"/>
              </a:solidFill>
              <a:ln w="19050">
                <a:solidFill>
                  <a:schemeClr val="lt1"/>
                </a:solidFill>
              </a:ln>
              <a:effectLst/>
            </c:spPr>
          </c:dPt>
          <c:dPt>
            <c:idx val="1"/>
            <c:bubble3D val="false"/>
            <c:spPr>
              <a:solidFill>
                <a:schemeClr val="accent2"/>
              </a:solidFill>
              <a:ln w="19050">
                <a:solidFill>
                  <a:schemeClr val="lt1"/>
                </a:solidFill>
              </a:ln>
              <a:effectLst/>
            </c:spPr>
          </c:dPt>
          <c:dPt>
            <c:idx val="2"/>
            <c:bubble3D val="false"/>
            <c:spPr>
              <a:solidFill>
                <a:schemeClr val="accent3"/>
              </a:solidFill>
              <a:ln w="19050">
                <a:solidFill>
                  <a:schemeClr val="lt1"/>
                </a:solidFill>
              </a:ln>
              <a:effectLst/>
            </c:spPr>
          </c:dPt>
          <c:dPt>
            <c:idx val="3"/>
            <c:bubble3D val="false"/>
            <c:spPr>
              <a:solidFill>
                <a:schemeClr val="accent4"/>
              </a:solidFill>
              <a:ln w="19050">
                <a:solidFill>
                  <a:schemeClr val="lt1"/>
                </a:solidFill>
              </a:ln>
              <a:effectLst/>
            </c:spPr>
          </c:dPt>
          <c:dPt>
            <c:idx val="4"/>
            <c:bubble3D val="false"/>
            <c:spPr>
              <a:solidFill>
                <a:schemeClr val="accent5"/>
              </a:solidFill>
              <a:ln w="19050">
                <a:solidFill>
                  <a:schemeClr val="lt1"/>
                </a:solidFill>
              </a:ln>
              <a:effectLst/>
            </c:spPr>
          </c:dPt>
          <c:dPt>
            <c:idx val="5"/>
            <c:bubble3D val="false"/>
            <c:spPr>
              <a:solidFill>
                <a:schemeClr val="accent6"/>
              </a:solidFill>
              <a:ln w="19050">
                <a:solidFill>
                  <a:schemeClr val="lt1"/>
                </a:solidFill>
              </a:ln>
              <a:effectLst/>
            </c:spPr>
          </c:dPt>
          <c:dPt>
            <c:idx val="6"/>
            <c:bubble3D val="false"/>
            <c:spPr>
              <a:solidFill>
                <a:schemeClr val="accent1">
                  <a:lumMod val="60000"/>
                </a:schemeClr>
              </a:solidFill>
              <a:ln w="19050">
                <a:solidFill>
                  <a:schemeClr val="lt1"/>
                </a:solidFill>
              </a:ln>
              <a:effectLst/>
            </c:spPr>
          </c:dPt>
          <c:dPt>
            <c:idx val="7"/>
            <c:bubble3D val="false"/>
            <c:spPr>
              <a:solidFill>
                <a:schemeClr val="accent2">
                  <a:lumMod val="60000"/>
                </a:schemeClr>
              </a:solidFill>
              <a:ln w="19050">
                <a:solidFill>
                  <a:schemeClr val="lt1"/>
                </a:solidFill>
              </a:ln>
              <a:effectLst/>
            </c:spPr>
          </c:dPt>
          <c:dPt>
            <c:idx val="8"/>
            <c:bubble3D val="false"/>
            <c:spPr>
              <a:solidFill>
                <a:schemeClr val="accent3">
                  <a:lumMod val="60000"/>
                </a:schemeClr>
              </a:solidFill>
              <a:ln w="19050">
                <a:solidFill>
                  <a:schemeClr val="lt1"/>
                </a:solidFill>
              </a:ln>
              <a:effectLst/>
            </c:spPr>
          </c:dPt>
          <c:dPt>
            <c:idx val="9"/>
            <c:bubble3D val="false"/>
            <c:spPr>
              <a:solidFill>
                <a:schemeClr val="accent4">
                  <a:lumMod val="60000"/>
                </a:schemeClr>
              </a:solidFill>
              <a:ln w="19050">
                <a:solidFill>
                  <a:schemeClr val="lt1"/>
                </a:solidFill>
              </a:ln>
              <a:effectLst/>
            </c:spPr>
          </c:dPt>
          <c:dPt>
            <c:idx val="10"/>
            <c:bubble3D val="false"/>
            <c:spPr>
              <a:solidFill>
                <a:schemeClr val="accent5">
                  <a:lumMod val="60000"/>
                </a:schemeClr>
              </a:solidFill>
              <a:ln w="19050">
                <a:solidFill>
                  <a:schemeClr val="lt1"/>
                </a:solidFill>
              </a:ln>
              <a:effectLst/>
            </c:spPr>
          </c:dPt>
          <c:dLbls>
            <c:delete val="true"/>
          </c:dLbls>
          <c:cat>
            <c:strRef>
              <c:f>'[新建 XLSX 工作表.xlsx]Sheet1'!$A$2:$A$12</c:f>
              <c:strCache>
                <c:ptCount val="11"/>
                <c:pt idx="0">
                  <c:v>一般公共预算收入100%</c:v>
                </c:pt>
                <c:pt idx="1">
                  <c:v>政府性基金预算收入0</c:v>
                </c:pt>
                <c:pt idx="2">
                  <c:v>国有资本经营预算收入0</c:v>
                </c:pt>
                <c:pt idx="3">
                  <c:v>财政专户管理资金收入0</c:v>
                </c:pt>
                <c:pt idx="4">
                  <c:v>事业收入0</c:v>
                </c:pt>
                <c:pt idx="5">
                  <c:v>事业单位经营收入0</c:v>
                </c:pt>
                <c:pt idx="6">
                  <c:v>上级补助收入0</c:v>
                </c:pt>
                <c:pt idx="7">
                  <c:v>附属单位上缴收入0</c:v>
                </c:pt>
                <c:pt idx="8">
                  <c:v>其他收入0</c:v>
                </c:pt>
                <c:pt idx="9">
                  <c:v>使用非财政拨款结余0</c:v>
                </c:pt>
                <c:pt idx="10">
                  <c:v>上年结转0</c:v>
                </c:pt>
              </c:strCache>
            </c:strRef>
          </c:cat>
          <c:val>
            <c:numRef>
              <c:f>'[新建 XLSX 工作表.xlsx]Sheet1'!$B$2:$B$12</c:f>
              <c:numCache>
                <c:formatCode>General</c:formatCode>
                <c:ptCount val="11"/>
                <c:pt idx="0">
                  <c:v>116.42</c:v>
                </c:pt>
                <c:pt idx="1">
                  <c:v>0</c:v>
                </c:pt>
                <c:pt idx="2">
                  <c:v>0</c:v>
                </c:pt>
                <c:pt idx="3">
                  <c:v>0</c:v>
                </c:pt>
                <c:pt idx="4">
                  <c:v>0</c:v>
                </c:pt>
                <c:pt idx="5">
                  <c:v>0</c:v>
                </c:pt>
                <c:pt idx="6">
                  <c:v>0</c:v>
                </c:pt>
                <c:pt idx="7">
                  <c:v>0</c:v>
                </c:pt>
                <c:pt idx="8">
                  <c:v>0</c:v>
                </c:pt>
                <c:pt idx="9">
                  <c:v>0</c:v>
                </c:pt>
                <c:pt idx="10">
                  <c:v>0</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t>支出项目构成情况表</a:t>
            </a:r>
          </a:p>
        </c:rich>
      </c:tx>
      <c:layout/>
      <c:overlay val="false"/>
      <c:spPr>
        <a:noFill/>
        <a:ln>
          <a:noFill/>
        </a:ln>
        <a:effectLst/>
      </c:spPr>
    </c:title>
    <c:autoTitleDeleted val="false"/>
    <c:plotArea>
      <c:layout/>
      <c:pieChart>
        <c:varyColors val="true"/>
        <c:ser>
          <c:idx val="0"/>
          <c:order val="0"/>
          <c:spPr/>
          <c:explosion val="0"/>
          <c:dPt>
            <c:idx val="0"/>
            <c:bubble3D val="false"/>
            <c:spPr>
              <a:solidFill>
                <a:schemeClr val="accent1"/>
              </a:solidFill>
              <a:ln w="19050">
                <a:solidFill>
                  <a:schemeClr val="lt1"/>
                </a:solidFill>
              </a:ln>
              <a:effectLst/>
            </c:spPr>
          </c:dPt>
          <c:dPt>
            <c:idx val="1"/>
            <c:bubble3D val="false"/>
            <c:spPr>
              <a:solidFill>
                <a:schemeClr val="accent2"/>
              </a:solidFill>
              <a:ln w="19050">
                <a:solidFill>
                  <a:schemeClr val="lt1"/>
                </a:solidFill>
              </a:ln>
              <a:effectLst/>
            </c:spPr>
          </c:dPt>
          <c:dLbls>
            <c:dLbl>
              <c:idx val="0"/>
              <c:layout>
                <c:manualLayout>
                  <c:x val="0.020252429670831"/>
                  <c:y val="-0.210217361923386"/>
                </c:manualLayout>
              </c:layout>
              <c:tx>
                <c:rich>
                  <a:bodyPr rot="0" spcFirstLastPara="0" vertOverflow="ellipsis" vert="horz" wrap="square" lIns="38100" tIns="19050" rIns="38100" bIns="19050" anchor="ctr" anchorCtr="true"/>
                  <a:lstStyle/>
                  <a:p>
                    <a:pPr defTabSz="914400">
                      <a:defRPr lang="zh-CN" sz="900" b="0" i="0" u="none" strike="noStrike" kern="1200" baseline="0">
                        <a:solidFill>
                          <a:schemeClr val="tx1">
                            <a:lumMod val="75000"/>
                            <a:lumOff val="25000"/>
                          </a:schemeClr>
                        </a:solidFill>
                        <a:latin typeface="+mn-lt"/>
                        <a:ea typeface="+mn-ea"/>
                        <a:cs typeface="+mn-cs"/>
                      </a:defRPr>
                    </a:pPr>
                    <a:r>
                      <a:t>基本支出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63.16</a:t>
                    </a:r>
                    <a:r>
                      <a:t>%</a:t>
                    </a:r>
                  </a:p>
                </c:rich>
              </c:tx>
              <c:dLblPos val="bestFit"/>
              <c:showLegendKey val="true"/>
              <c:showVal val="false"/>
              <c:showCatName val="true"/>
              <c:showSerName val="false"/>
              <c:showPercent val="true"/>
              <c:showBubbleSize val="false"/>
              <c:separator>
</c:separator>
              <c:extLst>
                <c:ext xmlns:c15="http://schemas.microsoft.com/office/drawing/2012/chart" uri="{CE6537A1-D6FC-4f65-9D91-7224C49458BB}">
                  <c15:layout/>
                </c:ext>
              </c:extLst>
            </c:dLbl>
            <c:dLbl>
              <c:idx val="1"/>
              <c:layout>
                <c:manualLayout>
                  <c:x val="0.00578157341624921"/>
                  <c:y val="0.00525082767608956"/>
                </c:manualLayout>
              </c:layout>
              <c:tx>
                <c:rich>
                  <a:bodyPr rot="0" spcFirstLastPara="0" vertOverflow="ellipsis" vert="horz" wrap="square" lIns="38100" tIns="19050" rIns="38100" bIns="19050" anchor="ctr" anchorCtr="true"/>
                  <a:lstStyle/>
                  <a:p>
                    <a:pPr defTabSz="914400">
                      <a:defRPr lang="zh-CN" sz="900" b="0" i="0" u="none" strike="noStrike" kern="1200" baseline="0">
                        <a:solidFill>
                          <a:schemeClr val="tx1">
                            <a:lumMod val="75000"/>
                            <a:lumOff val="25000"/>
                          </a:schemeClr>
                        </a:solidFill>
                        <a:latin typeface="+mn-lt"/>
                        <a:ea typeface="+mn-ea"/>
                        <a:cs typeface="+mn-cs"/>
                      </a:defRPr>
                    </a:pPr>
                    <a:r>
                      <a:t>项目支出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36.84</a:t>
                    </a:r>
                    <a:r>
                      <a:t>%</a:t>
                    </a:r>
                  </a:p>
                </c:rich>
              </c:tx>
              <c:dLblPos val="bestFit"/>
              <c:showLegendKey val="true"/>
              <c:showVal val="false"/>
              <c:showCatName val="true"/>
              <c:showSerName val="false"/>
              <c:showPercent val="true"/>
              <c:showBubbleSize val="false"/>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true"/>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true"/>
            <c:showVal val="false"/>
            <c:showCatName val="true"/>
            <c:showSerName val="false"/>
            <c:showPercent val="true"/>
            <c:showBubbleSize val="false"/>
            <c:showLeaderLines val="tru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'[预算公开第2个图(支出项目构成情况表）.xlsx]Sheet1'!$A$1:$B$1</c:f>
              <c:strCache>
                <c:ptCount val="2"/>
                <c:pt idx="0">
                  <c:v>基本支出</c:v>
                </c:pt>
                <c:pt idx="1">
                  <c:v>项目支出</c:v>
                </c:pt>
              </c:strCache>
            </c:strRef>
          </c:cat>
          <c:val>
            <c:numRef>
              <c:f>'[预算公开第2个图(支出项目构成情况表）.xlsx]Sheet1'!$A$2:$B$2</c:f>
              <c:numCache>
                <c:formatCode>General</c:formatCode>
                <c:ptCount val="2"/>
                <c:pt idx="0">
                  <c:v>85.72</c:v>
                </c:pt>
                <c:pt idx="1">
                  <c:v>50</c:v>
                </c:pt>
              </c:numCache>
            </c:numRef>
          </c:val>
        </c:ser>
        <c:dLbls>
          <c:showLegendKey val="false"/>
          <c:showVal val="true"/>
          <c:showCatName val="false"/>
          <c:showSerName val="false"/>
          <c:showPercent val="false"/>
          <c:showBubbleSize val="false"/>
          <c:showLeaderLines val="true"/>
        </c:dLbls>
        <c:firstSliceAng val="0"/>
      </c:pieChart>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6905</Words>
  <Characters>8368</Characters>
  <Lines>88</Lines>
  <Paragraphs>24</Paragraphs>
  <TotalTime>0</TotalTime>
  <ScaleCrop>false</ScaleCrop>
  <LinksUpToDate>false</LinksUpToDate>
  <CharactersWithSpaces>8621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2022-02-17T14:57:00Z</dcterms:created>
  <dc:creator>Li</dc:creator>
  <cp:lastModifiedBy>user</cp:lastModifiedBy>
  <cp:lastPrinted>2022-02-11T15:12:00Z</cp:lastPrinted>
  <dcterms:modified xsi:type="dcterms:W3CDTF">2023-11-02T17:57:59Z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326EC645A0CB48D482E8B2A6DB851EB2</vt:lpwstr>
  </property>
</Properties>
</file>